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D42" w:rsidRDefault="003E0D42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E0D42" w:rsidRDefault="003E0D42">
      <w:pPr>
        <w:pStyle w:val="ConsPlusNormal"/>
        <w:jc w:val="both"/>
        <w:outlineLvl w:val="0"/>
      </w:pPr>
    </w:p>
    <w:p w:rsidR="003E0D42" w:rsidRDefault="003E0D42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3E0D42" w:rsidRDefault="003E0D42">
      <w:pPr>
        <w:pStyle w:val="ConsPlusTitle"/>
        <w:jc w:val="center"/>
      </w:pPr>
    </w:p>
    <w:p w:rsidR="003E0D42" w:rsidRDefault="003E0D42">
      <w:pPr>
        <w:pStyle w:val="ConsPlusTitle"/>
        <w:jc w:val="center"/>
      </w:pPr>
      <w:r>
        <w:t>ПОСТАНОВЛЕНИЕ</w:t>
      </w:r>
    </w:p>
    <w:p w:rsidR="003E0D42" w:rsidRDefault="003E0D42">
      <w:pPr>
        <w:pStyle w:val="ConsPlusTitle"/>
        <w:jc w:val="center"/>
      </w:pPr>
      <w:r>
        <w:t>от 4 июля 2018 г. N 403</w:t>
      </w:r>
    </w:p>
    <w:p w:rsidR="003E0D42" w:rsidRDefault="003E0D42">
      <w:pPr>
        <w:pStyle w:val="ConsPlusTitle"/>
        <w:jc w:val="center"/>
      </w:pPr>
    </w:p>
    <w:p w:rsidR="003E0D42" w:rsidRDefault="003E0D42">
      <w:pPr>
        <w:pStyle w:val="ConsPlusTitle"/>
        <w:jc w:val="center"/>
      </w:pPr>
      <w:r>
        <w:t>ОБ УТВЕРЖДЕНИИ ДОКУМЕНТАЦИИ ПО ПЛАНИРОВКЕ ТЕРРИТОРИИ,</w:t>
      </w:r>
    </w:p>
    <w:p w:rsidR="003E0D42" w:rsidRDefault="003E0D42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УЛИЦАМИ: АРТАМОНОВА, МАРШАЛА ОДИНЦОВА,</w:t>
      </w:r>
    </w:p>
    <w:p w:rsidR="003E0D42" w:rsidRDefault="003E0D42">
      <w:pPr>
        <w:pStyle w:val="ConsPlusTitle"/>
        <w:jc w:val="center"/>
      </w:pPr>
      <w:r>
        <w:t>НАБЕРЕЖНОЙ ЧУЕВА В ГОРОДСКОМ ОКРУГЕ</w:t>
      </w:r>
    </w:p>
    <w:p w:rsidR="003E0D42" w:rsidRDefault="003E0D42">
      <w:pPr>
        <w:pStyle w:val="ConsPlusTitle"/>
        <w:jc w:val="center"/>
      </w:pPr>
      <w:r>
        <w:t>ГОРОД ВОРОНЕЖ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</w:t>
      </w:r>
      <w:proofErr w:type="gramEnd"/>
      <w:r>
        <w:t xml:space="preserve"> город Воронеж", на основании заявления Акционерного общества "Домостроительный комбинат" (ИНН 3665005205) и Общества с ограниченной ответственностью "ГрадСтрой" (ИНН 3662134026), в связи с исполнением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23.10.2012 N 886 "О подготовке документации по планировке территории, ограниченной улицами: Артамонова, Маршала Одинцова, набережной Чуева в городском округе город Воронеж", с учетом заключения от 17.10.2017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ограниченной улицами: Артамонова, Маршала Одинцова, набережной Чуева в городском округе город Воронеж, администрация городского округа город Воронеж постановляет: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утвердить прилагаемую </w:t>
      </w:r>
      <w:hyperlink w:anchor="P28">
        <w:r>
          <w:rPr>
            <w:color w:val="0000FF"/>
          </w:rPr>
          <w:t>документацию</w:t>
        </w:r>
      </w:hyperlink>
      <w:r>
        <w:t xml:space="preserve"> по планировке территории, ограниченной улицами: Артамонова, Маршала Одинцова, набережной Чуева в городском округе город Воронеж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3E0D42" w:rsidRDefault="003E0D42">
      <w:pPr>
        <w:pStyle w:val="ConsPlusNormal"/>
        <w:jc w:val="right"/>
      </w:pPr>
      <w:r>
        <w:t>округа город Воронеж</w:t>
      </w:r>
    </w:p>
    <w:p w:rsidR="003E0D42" w:rsidRDefault="003E0D42">
      <w:pPr>
        <w:pStyle w:val="ConsPlusNormal"/>
        <w:jc w:val="right"/>
      </w:pPr>
      <w:r>
        <w:t>В.Ю.КСТЕНИН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  <w:outlineLvl w:val="0"/>
      </w:pPr>
      <w:r>
        <w:t>Утверждена</w:t>
      </w:r>
    </w:p>
    <w:p w:rsidR="003E0D42" w:rsidRDefault="003E0D42">
      <w:pPr>
        <w:pStyle w:val="ConsPlusNormal"/>
        <w:jc w:val="right"/>
      </w:pPr>
      <w:r>
        <w:t>постановлением</w:t>
      </w:r>
    </w:p>
    <w:p w:rsidR="003E0D42" w:rsidRDefault="003E0D42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3E0D42" w:rsidRDefault="003E0D42">
      <w:pPr>
        <w:pStyle w:val="ConsPlusNormal"/>
        <w:jc w:val="right"/>
      </w:pPr>
      <w:r>
        <w:t>округа город Воронеж</w:t>
      </w:r>
    </w:p>
    <w:p w:rsidR="003E0D42" w:rsidRDefault="003E0D42">
      <w:pPr>
        <w:pStyle w:val="ConsPlusNormal"/>
        <w:jc w:val="right"/>
      </w:pPr>
      <w:r>
        <w:t>от 04.07.2018 N 403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Title"/>
        <w:jc w:val="center"/>
      </w:pPr>
      <w:bookmarkStart w:id="0" w:name="P28"/>
      <w:bookmarkEnd w:id="0"/>
      <w:r>
        <w:t>ДОКУМЕНТАЦИЯ</w:t>
      </w:r>
    </w:p>
    <w:p w:rsidR="003E0D42" w:rsidRDefault="003E0D42">
      <w:pPr>
        <w:pStyle w:val="ConsPlusTitle"/>
        <w:jc w:val="center"/>
      </w:pPr>
      <w:r>
        <w:t>ПО ПЛАНИРОВКЕ ТЕРРИТОРИИ, ОГРАНИЧЕННОЙ УЛИЦАМИ:</w:t>
      </w:r>
    </w:p>
    <w:p w:rsidR="003E0D42" w:rsidRDefault="003E0D42">
      <w:pPr>
        <w:pStyle w:val="ConsPlusTitle"/>
        <w:jc w:val="center"/>
      </w:pPr>
      <w:r>
        <w:t>АРТАМОНОВА, МАРШАЛА ОДИНЦОВА, НАБЕРЕЖНОЙ ЧУЕВА</w:t>
      </w:r>
    </w:p>
    <w:p w:rsidR="003E0D42" w:rsidRDefault="003E0D42">
      <w:pPr>
        <w:pStyle w:val="ConsPlusTitle"/>
        <w:jc w:val="center"/>
      </w:pPr>
      <w:r>
        <w:t>В ГОРОДСКОМ ОКРУГЕ ГОРОД ВОРОНЕЖ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 xml:space="preserve">1. </w:t>
      </w:r>
      <w:hyperlink w:anchor="P51">
        <w:r>
          <w:rPr>
            <w:color w:val="0000FF"/>
          </w:rPr>
          <w:t>Положение</w:t>
        </w:r>
      </w:hyperlink>
      <w:r>
        <w:t xml:space="preserve"> о размещении объектов капитального строительства и характеристиках планируемого развития территории, ограниченной улицами: Артамонова, Маршала Одинцова, набережной Чуева в городском округе город Воронеж (приложение N 1).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 xml:space="preserve">2. </w:t>
      </w:r>
      <w:hyperlink w:anchor="P1019">
        <w:r>
          <w:rPr>
            <w:color w:val="0000FF"/>
          </w:rPr>
          <w:t>Чертеж</w:t>
        </w:r>
      </w:hyperlink>
      <w:r>
        <w:t xml:space="preserve"> планировки территории, ограниченной улицами: Артамонова, Маршала Одинцова, набережной Чуева в городском округе город Воронеж (приложение N 2).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3. </w:t>
      </w:r>
      <w:hyperlink w:anchor="P1044">
        <w:r>
          <w:rPr>
            <w:color w:val="0000FF"/>
          </w:rPr>
          <w:t>Чертеж</w:t>
        </w:r>
      </w:hyperlink>
      <w:r>
        <w:t xml:space="preserve"> межевания территории, ограниченной улицами: Артамонова, Маршала Одинцова, набережной Чуева в городском округе город Воронеж (приложение N 3).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</w:pPr>
      <w:r>
        <w:t>Руководитель управления</w:t>
      </w:r>
    </w:p>
    <w:p w:rsidR="003E0D42" w:rsidRDefault="003E0D42">
      <w:pPr>
        <w:pStyle w:val="ConsPlusNormal"/>
        <w:jc w:val="right"/>
      </w:pPr>
      <w:r>
        <w:t>главного архитектора городского округа</w:t>
      </w:r>
    </w:p>
    <w:p w:rsidR="003E0D42" w:rsidRDefault="003E0D42">
      <w:pPr>
        <w:pStyle w:val="ConsPlusNormal"/>
        <w:jc w:val="right"/>
      </w:pPr>
      <w:r>
        <w:t>Л.А.ПОДШИВАЛОВА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  <w:outlineLvl w:val="1"/>
      </w:pPr>
      <w:r>
        <w:t>Приложение N 1</w:t>
      </w:r>
    </w:p>
    <w:p w:rsidR="003E0D42" w:rsidRDefault="003E0D42">
      <w:pPr>
        <w:pStyle w:val="ConsPlusNormal"/>
        <w:jc w:val="right"/>
      </w:pPr>
      <w:r>
        <w:t>к документации</w:t>
      </w:r>
    </w:p>
    <w:p w:rsidR="003E0D42" w:rsidRDefault="003E0D42">
      <w:pPr>
        <w:pStyle w:val="ConsPlusNormal"/>
        <w:jc w:val="right"/>
      </w:pPr>
      <w:r>
        <w:t>по планировке территории, ограниченной улицами:</w:t>
      </w:r>
    </w:p>
    <w:p w:rsidR="003E0D42" w:rsidRDefault="003E0D42">
      <w:pPr>
        <w:pStyle w:val="ConsPlusNormal"/>
        <w:jc w:val="right"/>
      </w:pPr>
      <w:r>
        <w:t>Артамонова, Маршала Одинцова, набережной Чуева</w:t>
      </w:r>
    </w:p>
    <w:p w:rsidR="003E0D42" w:rsidRDefault="003E0D42">
      <w:pPr>
        <w:pStyle w:val="ConsPlusNormal"/>
        <w:jc w:val="right"/>
      </w:pPr>
      <w:r>
        <w:t>в городском округе город Воронеж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</w:pPr>
      <w:bookmarkStart w:id="1" w:name="P51"/>
      <w:bookmarkEnd w:id="1"/>
      <w:r>
        <w:t>ПОЛОЖЕНИЕ</w:t>
      </w:r>
    </w:p>
    <w:p w:rsidR="003E0D42" w:rsidRDefault="003E0D42">
      <w:pPr>
        <w:pStyle w:val="ConsPlusNormal"/>
        <w:jc w:val="center"/>
      </w:pPr>
      <w:r>
        <w:t>о размещении объектов капитального строительства и</w:t>
      </w:r>
    </w:p>
    <w:p w:rsidR="003E0D42" w:rsidRDefault="003E0D42">
      <w:pPr>
        <w:pStyle w:val="ConsPlusNormal"/>
        <w:jc w:val="center"/>
      </w:pPr>
      <w:proofErr w:type="gramStart"/>
      <w:r>
        <w:t>характеристиках</w:t>
      </w:r>
      <w:proofErr w:type="gramEnd"/>
      <w:r>
        <w:t xml:space="preserve"> планируемого развития территории,</w:t>
      </w:r>
    </w:p>
    <w:p w:rsidR="003E0D42" w:rsidRDefault="003E0D42">
      <w:pPr>
        <w:pStyle w:val="ConsPlusNormal"/>
        <w:jc w:val="center"/>
      </w:pPr>
      <w:proofErr w:type="gramStart"/>
      <w:r>
        <w:t>ограниченной</w:t>
      </w:r>
      <w:proofErr w:type="gramEnd"/>
      <w:r>
        <w:t xml:space="preserve"> улицами: Артамонова, Маршала Одинцова,</w:t>
      </w:r>
    </w:p>
    <w:p w:rsidR="003E0D42" w:rsidRDefault="003E0D42">
      <w:pPr>
        <w:pStyle w:val="ConsPlusNormal"/>
        <w:jc w:val="center"/>
      </w:pPr>
      <w:r>
        <w:t>набережной Чуева в городском округе город Воронеж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I. Общие положения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 xml:space="preserve">Документация по планировке территории, ограниченной улицами: Артамонова, Маршала Одинцова, набережная Чуева в городском округе город Воронеж (далее - документация по планировке территории), разработана на основании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23.10.2012 N 886 "О подготовке документации по планировке территории, ограниченной улицами: </w:t>
      </w:r>
      <w:proofErr w:type="gramStart"/>
      <w:r>
        <w:t xml:space="preserve">Артамонова, Маршала Одинцова, набережная Чуева в городском округе город Воронеж", Генерального </w:t>
      </w:r>
      <w:hyperlink r:id="rId12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 (далее - Генеральный план), </w:t>
      </w:r>
      <w:hyperlink r:id="rId13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</w:t>
      </w:r>
      <w:proofErr w:type="gramEnd"/>
      <w:r>
        <w:t xml:space="preserve"> округа город Воронеж" (далее - Правила), в соответствии с требованиями Градостроительного </w:t>
      </w:r>
      <w:hyperlink r:id="rId14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В соответствии с постановлением администрации городского округа город Воронеж от 23.07.2014 N 697 </w:t>
      </w:r>
      <w:hyperlink r:id="rId15">
        <w:r>
          <w:rPr>
            <w:color w:val="0000FF"/>
          </w:rPr>
          <w:t>документация</w:t>
        </w:r>
      </w:hyperlink>
      <w:r>
        <w:t xml:space="preserve"> по планировке территории, ограниченной улицами: Артамонова, Маршала Одинцова, набережной Чуева в городском округе город Воронеж, 28.09.2014 была рассмотрена на публичных слушаниях. В ходе обсуждения присутствующими были высказаны как положительные, так и отрицательные мнения по обсуждаемому вопросу.</w:t>
      </w:r>
    </w:p>
    <w:p w:rsidR="003E0D42" w:rsidRDefault="003E0D42">
      <w:pPr>
        <w:pStyle w:val="ConsPlusNormal"/>
        <w:spacing w:before="220"/>
        <w:ind w:firstLine="540"/>
        <w:jc w:val="both"/>
      </w:pPr>
      <w:proofErr w:type="gramStart"/>
      <w:r>
        <w:t>После проведения публичных слушаний в документацию по планировке территории были внесены изменения в части уточнения параметров застройки, а также изменения, касающиеся застройки земельных участков по ул. Артамонова, 34ж (кадастровый номер 36:34:0105005:13) и ул. Маршала Одинцова, 25в (кадастровый номер 36:34:0105006:5), ввиду их принадлежности на праве аренды ООО "ГрадСтрой".</w:t>
      </w:r>
      <w:proofErr w:type="gramEnd"/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Подготовка документации по планировке рассматриваемой территории осуществляется в целях обеспечения устойчивого развития территории,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Материалы утвержденного проекта планировки территории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территории и на последующих стадиях архитектурно-строительного проектирования и строительства отдельных объектов.</w:t>
      </w:r>
    </w:p>
    <w:p w:rsidR="003E0D42" w:rsidRDefault="003E0D42">
      <w:pPr>
        <w:pStyle w:val="ConsPlusNormal"/>
        <w:spacing w:before="220"/>
        <w:ind w:firstLine="540"/>
        <w:jc w:val="both"/>
      </w:pPr>
      <w:proofErr w:type="gramStart"/>
      <w:r>
        <w:t xml:space="preserve">Архитектурно-строительное проектирование осуществляется с учетом положений настоящей документации по планировке территории в соответствии с требованиями технических регламентов, региональных </w:t>
      </w:r>
      <w:hyperlink r:id="rId16">
        <w:r>
          <w:rPr>
            <w:color w:val="0000FF"/>
          </w:rPr>
          <w:t>нормативов</w:t>
        </w:r>
      </w:hyperlink>
      <w:r>
        <w:t xml:space="preserve"> градостроительного проектирования Воронежской области, утвержденных приказом управления архитектуры и градостроительства Воронежской области от 01.11.2016 N 45-01-04/433 (далее - региональные нормативы), местных </w:t>
      </w:r>
      <w:hyperlink r:id="rId17">
        <w:r>
          <w:rPr>
            <w:color w:val="0000FF"/>
          </w:rPr>
          <w:t>нормативов</w:t>
        </w:r>
      </w:hyperlink>
      <w:r>
        <w:t xml:space="preserve"> градостроительного проектирования городского округа город Воронеж, утвержденных решением Воронежской городской Думы от 31.08.2016 N 340-IV "Об утверждении местных нормативов</w:t>
      </w:r>
      <w:proofErr w:type="gramEnd"/>
      <w:r>
        <w:t xml:space="preserve"> градостроительного проектирования городского округа город Воронеж" (далее - местные нормативы). Вместе с тем документация по планировке территории проверена и откорректирована в соответствии с требованиями региональных </w:t>
      </w:r>
      <w:hyperlink r:id="rId18">
        <w:r>
          <w:rPr>
            <w:color w:val="0000FF"/>
          </w:rPr>
          <w:t>нормативов</w:t>
        </w:r>
      </w:hyperlink>
      <w:r>
        <w:t xml:space="preserve"> градостроительного проектирования, утвержденных приказом управления архитектуры и градостроительства Воронежской области от 09.10.2017 N 45-01-04/115.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>Планируемая территория комплексной жилой застройки площадью 47,6 га расположена в жилом квартале, ограниченном улицами: Артамонова, Маршала Одинцова, набережной Чуева в Железнодорожном районе городского округа город Воронеж. В границах территории расположены земельные участки, свободные от застройки и предназначенные для формирования многоэтажной жилой застройки со встроенно-пристроенными нежилыми помещениями, объектами социального назначения и инженерной инфраструктуры. Часть территории планируется для размещения зеленых насаждений общего и специального назначения.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Генеральным планом планируемая территория определена как жилая зона многоэтажной застройки.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В соответствии с Правилами планируемая территория расположена в территориальных зонах:</w:t>
      </w:r>
    </w:p>
    <w:p w:rsidR="003E0D42" w:rsidRDefault="003E0D42">
      <w:pPr>
        <w:pStyle w:val="ConsPlusNormal"/>
        <w:spacing w:before="220"/>
        <w:ind w:firstLine="540"/>
        <w:jc w:val="both"/>
      </w:pPr>
      <w:hyperlink r:id="rId19">
        <w:proofErr w:type="gramStart"/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10</w:t>
        </w:r>
      </w:hyperlink>
      <w:r>
        <w:t xml:space="preserve"> - зоне развития многоэтажной жилой застройки. Зона выделена для формирования жилых районов многоэтажной жилой застройки на свободных и трансформируемых территориях с определением параметров жилой застройки и набором услуг по мере принятия решений о застройке территории органами местного самоуправления;</w:t>
      </w:r>
    </w:p>
    <w:p w:rsidR="003E0D42" w:rsidRDefault="003E0D42">
      <w:pPr>
        <w:pStyle w:val="ConsPlusNormal"/>
        <w:spacing w:before="220"/>
        <w:ind w:firstLine="540"/>
        <w:jc w:val="both"/>
      </w:pPr>
      <w:hyperlink r:id="rId20"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</w:t>
        </w:r>
      </w:hyperlink>
      <w:r>
        <w:t xml:space="preserve"> - прибрежной зоне отдыха, набережных, лугопарков. Зона выделена для обеспечения условий сохранения и использования земельных участков озеленения и природного ландшафта в целях проведения досуга населения и предотвращения загрязнения, засорения, заиления водных объектов;</w:t>
      </w:r>
    </w:p>
    <w:p w:rsidR="003E0D42" w:rsidRDefault="003E0D42">
      <w:pPr>
        <w:pStyle w:val="ConsPlusNormal"/>
        <w:spacing w:before="220"/>
        <w:ind w:firstLine="540"/>
        <w:jc w:val="both"/>
      </w:pPr>
      <w:hyperlink r:id="rId21"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1</w:t>
        </w:r>
      </w:hyperlink>
      <w:r>
        <w:t xml:space="preserve"> - зоне озелененных территорий общего пользования. Зона выделена для обеспечения правовых условий сохранения и использования земельных участков озеленения в целях </w:t>
      </w:r>
      <w:r>
        <w:lastRenderedPageBreak/>
        <w:t>проведения досуга населения.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Территория, планируемая под размещение многоэтажной застройки, расположена в территориальной </w:t>
      </w:r>
      <w:hyperlink r:id="rId22">
        <w:r>
          <w:rPr>
            <w:color w:val="0000FF"/>
          </w:rPr>
          <w:t>зоне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10</w:t>
        </w:r>
      </w:hyperlink>
      <w:r>
        <w:t>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3">
        <w:r>
          <w:rPr>
            <w:color w:val="0000FF"/>
          </w:rPr>
          <w:t>статье 20</w:t>
        </w:r>
      </w:hyperlink>
      <w:r>
        <w:t xml:space="preserve"> Правил многоквартирные многоэтажные жилые дома являются основным видом разрешенного использования земельных участков в территориальной </w:t>
      </w:r>
      <w:hyperlink r:id="rId24">
        <w:r>
          <w:rPr>
            <w:color w:val="0000FF"/>
          </w:rPr>
          <w:t>зоне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10</w:t>
        </w:r>
      </w:hyperlink>
      <w:r>
        <w:t>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Транспортная связь с городским центром осуществляется по улице местного значения Артамонова, магистральным улицам общегородского значения регулируемого движения Богдана Хмельницкого и Ленинский проспект и далее через Чернавский мост по магистральной улице общегородского значения регулируемого движения пр-кт Революции.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На планируемой территории в основном расположены земельные участки из состава земель населенных пунктов, предоставленные в аренду.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Планируемая территория включает: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земельный участок по ул. Артамонова, 34/7 площадью 7,9994 га (кадастровый номер 36:34:0105005:21);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земельный участок по ул. Артамонова, 38д площадью 2,4116 га (кадастровый номер 36:34:0105005:11);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земельный участок по ул. Маршала Одинцова, 25б площадью 13,4208 га (кадастровый номер 36:34:0105006:2);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земельный участок по ул. Артамонова, 34ж площадью 2,0363 га (кадастровый номер 36:34:0105005:13);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земельный участок по ул. Маршала Одинцова, 25в площадью 1,9637 га (кадастровый номер 36:34:0105006:5);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земельный участок по ул. Маршала Одинцова, 25и площадью 0,4925 га (кадастровый номер 36:34:0000000:7014), выделенный для строительства многоэтажной стоянки индивидуальных легковых автомобилей;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земельный участок по ул. Маршала Одинцова, 25л площадью 0,4613 га (кадастровый номер 36:34:0105006:386), выделенный для строительства многоэтажной стоянки индивидуальных легковых автомобилей;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земельный участок по ул. Маршала Одинцова, 25е площадью 0,4976 га (кадастровый номер 36:34:0105006:7);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резервируемую территорию для строительства школы и детских садов общей площадью 5 га;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резервируемую территорию для строительства надземной гостевой автостоянки площадью 1,1 га.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Согласно схеме территориального планирования Российской Федерации и схеме территориального планирования субъектов Российской Федерации строительство объектов федерального и регионального значения на данной территории не планируется.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Правилами установлены ограничения на использование земельных участков и объектов капитального строительства на планируемой территории по следующим группам факторов: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1. Природно-экологические факторы - водоохранная зона водохранилища, прибрежная полоса водохранилища, территории, затапливаемые паводковыми водами 1% обеспеченности и техногенные факторы - зона воздушных подходов аэродромов.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Водоохранные зоны и прибрежные полосы создаются с целью поддержания в водных объектах качества воды, удовлетворяющего всем видам водопользования. Водоохранные зоны могут быть использованы в градостроительных целях с соблюдением требований, определенных Водным </w:t>
      </w:r>
      <w:hyperlink r:id="rId25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В границах водоохранных зон запрещается: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использование сточных вод для удобрения почв;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осуществление авиационных мер по борьбе с вредителями и болезнями растений;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В границах водоохранных зон допускаются: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Зоны затопления прибрежных территорий являются неблагоприятными для градостроительного освоения без проведения мероприятий по инженерной подготовке (подсыпка, дренаж, гидронамыв, берегоукрепление). При проектировании и строительстве необходимо предусматривать инженерную защиту от затопления и подтопления зданий, сооружений и инженерных коммуникаций. На территориях с высоким уровнем грунтовых вод и местах их выклинивания, строительство капитальных зданий и сооружений без проведения специальных защитных мероприятий и инженерно-строительного обоснования не допускается.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Основной целью создания и обеспечения режима в зонах санитарной охраны подземных источников водоснабжения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Согласование размещения объектов строительства на планируемой территории с управлением экологии администрации городского округа город Воронеж будет производиться после утверждения документации по планировке территории при разработке проектной документации.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2. Техногенные факторы - зона воздушных подходов аэродромов.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Планируемое строительство в границах территории, ограниченной улицами: Артамонова, Маршала Одинцова, набережной Чуева в городском округе город Воронеж, согласовано межрегиональным территориальным управлением воздушного транспорта центральных районов федерального агентства воздушного транспорта (исх. от 13.05.2016 N 2.15.2-1784), </w:t>
      </w:r>
      <w:proofErr w:type="gramStart"/>
      <w:r>
        <w:t>ОАО</w:t>
      </w:r>
      <w:proofErr w:type="gramEnd"/>
      <w:r>
        <w:t xml:space="preserve"> а/к "Воронежавиа" (предварительные согласования от 04.12.2013, 23.10.2014), ОАО "ВАСО" (исх. от 23.06.2014 NN 215, 216, исх. от 09.12.2013 N 511, заключение от 27.05.2016 N 730), ООО УК "Авиасервис" (предварительные заключения от 18.05.2016), аэродром Воронеж "Балтимор" (заключения от 15.03.2014, 17.03.2015, 11.05.2016).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3. Факторы сохранения историко-культурной среды - граница исторической территории.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В соответствии с выпиской из государственного реестра объектов культурного наследия (памятников истории и культуры) по г. Воронежу, списком выявленных объектов по г. Воронежу, обладающих признаками объекта культурного наследия, предоставленными государственной инспекцией охраны историко-культурного наследия Воронежской области, в границах планируемой территории отсутствуют объекты культурного наследия и выявленные объекты культурного наследия.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III. Архитектурно-планировочные решения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>Развитие планируемой территории, ограниченной улицами: Артамонова, Маршала Одинцова, набережной Чуева в городском округе город Воронеж, площадью 47,6 га возможно за счет строительства современной застройки с полным инженерным обеспечением на свободных, неиспользуемых по назначению территориях, также развитие прибрежной зоны в виде организации на ней парково-спортивной зоны отдыха.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На планируемой территории площадью 47,6 га согласно документации по планировке территории выделяются следующие зоны по функциональному назначению: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зона размещения объектов многоэтажной жилой застройки площадью 22,3 га;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зона размещения объектов начального общего и среднего (полного) образования площадью 3,9 га;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зона планируемого размещения объектов дошкольного образования площадью 2 га;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зона размещения объектов торговли площадью 0,73 га;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зона размещения объектов инженерной инфраструктуры площадью 1,24 га;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зона размещения объектов транспортной инфраструктуры площадью 2,4 га;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зона размещения объектов физкультуры и спорта площадью 0,5 га;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зона озелененных территорий общего пользования и спортивных сооружений площадью 7,5 га;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улицы и дороги вне зоны размещения объектов жилой застройки, включающие магистральную улицу районного значения, улицы в жилой застройке и основные проезды, занимают территорию площадью 7,03 га.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Зона размещения многоэтажной жилой застройки включает в себя территорию площадью 22,3 га, занимаемую многоэтажными жилыми домами. Площадь застройки в жилой зоне составляет 5,2 га. С учетом жилищной обеспеченности 30 кв. м/чел. при общей площади квартир 460787 кв. м население нового жилищного фонда составит 15360 чел., количество квартир - 9879.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На первых этажах жилых зданий планируется размещение помещений общественного назначения: магазины, предприятия общественного питания, предприятия бытового обслуживания, филиал банка, жилищно-эксплуатационная служба, досуговые центры, пункт охраны правопорядка, которые должны иметь входы, изолированные от жилой части здания.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На земельных участках, расположенных по ул. Артамонова, 34ж и ул. Маршала Одинцова, 25в, в жилых домах размещены дошкольные учреждения дополнительного образования.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К проектируемым жилым домам планируется размещение пристроек, занятых торговыми </w:t>
      </w:r>
      <w:r>
        <w:lastRenderedPageBreak/>
        <w:t>помещениями и помещениями социального назначения. В состав объектов социального назначения входят: аптека и кабинет семейного врача.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Жилые дома размещены с учетом санитарных, бытовых и пожарных разрывов. Согласно </w:t>
      </w:r>
      <w:hyperlink r:id="rId26">
        <w:r>
          <w:rPr>
            <w:color w:val="0000FF"/>
          </w:rPr>
          <w:t>пункту 7.5</w:t>
        </w:r>
      </w:hyperlink>
      <w:r>
        <w:t xml:space="preserve"> "СП 42.13330.2016. Свод правил. Градостроительство. Планировка и застройка городских и сельских поселений. Актуализированная редакция СНиП 2.07.01-89*", утвержденному Приказом Министерства строительства и жилищно-коммунального хозяйства Российской Федерации от 30.12.2016 N 1034/</w:t>
      </w:r>
      <w:proofErr w:type="gramStart"/>
      <w:r>
        <w:t>пр</w:t>
      </w:r>
      <w:proofErr w:type="gramEnd"/>
      <w:r>
        <w:t xml:space="preserve"> (далее - СП 42.13330.2016), минимально допустимое расстояние от окон жилых и общественных зданий до площадок: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для игр детей дошкольного и младшего школьного возраста - 12 м;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для отдыха взрослого населения - 10 м;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для занятий физкультурой (в зависимости от шумовых характеристик) - 10 - 40 м;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для хозяйственных целей - 20 м;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для выгула собак - 40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Расстояния от площадок для сушки белья не нормируются.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Расстояния от площадок для мусоросборников до физкультурных площадок, площадок для игр детей и отдыха взрослых - не менее 20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Расстояния от площадок для хозяйственных целей до наиболее удаленного входа в жилое здание - не более 100 м для домов с мусоропроводами и не более 50 м для домов без мусоропроводов.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При проектировании жилого комплекса созданы условия для беспрепятственного и удобного передвижения маломобильных групп населения согласно </w:t>
      </w:r>
      <w:hyperlink r:id="rId27">
        <w:r>
          <w:rPr>
            <w:color w:val="0000FF"/>
          </w:rPr>
          <w:t>СП 59.13330.2016</w:t>
        </w:r>
      </w:hyperlink>
      <w:r>
        <w:t xml:space="preserve"> "Свод правил. Доступность зданий и сооружений для маломобильных групп населения. Актуализированная редакция СНиП 35-01-2001*", утвержденному Приказом Министерства строительства и жилищно-коммунального хозяйства Российской Федерации от 14.11.2016 N 798/</w:t>
      </w:r>
      <w:proofErr w:type="gramStart"/>
      <w:r>
        <w:t>пр</w:t>
      </w:r>
      <w:proofErr w:type="gramEnd"/>
      <w:r>
        <w:t xml:space="preserve"> (далее - СП 59.13330.2016).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На планируемой территории размещены гостевые автостоянки.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8">
        <w:r>
          <w:rPr>
            <w:color w:val="0000FF"/>
          </w:rPr>
          <w:t>пунктом 7.1.12</w:t>
        </w:r>
      </w:hyperlink>
      <w:r>
        <w:t xml:space="preserve"> примечаний 11 СанПиН 2.2.1/2.1.1.1200-03 "Санитарно-защитные зоны и санитарная классификация предприятий, сооружений и иных объектов", утвержденных Постановлением Главного государственного санитарного врача РФ от 25.09.2007 N 74 (далее - СанПиН 2.2.1/2.1.1.1200-03) для гостевых автостоянок жилых домов разрывы не устанавливаются.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В соответствии с региональными нормативами расстояние между длинными сторонами многоэтажных жилых домов принято не менее 20 м, между длинными сторонами и торцами без окон жилых комнат - не менее 10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Земельный участок, предназначенный для жилой застройки, должен содержать необходимые элементы планировочной структуры: территории под жилыми зданиями, проезды и пешеходные дороги, ведущие к жилым зданиям; открытые площадки для временного хранения автомобилей; придомовые зеленые насаждения, площадки для отдыха взрослого населения и площадки для детей; хозяйственные площадки.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Согласно региональным нормативам при подготовке проектной документации для строительства многоквартирного дома на отдельном земельном участке в кварталах </w:t>
      </w:r>
      <w:r>
        <w:lastRenderedPageBreak/>
        <w:t>существующей застройки населенного пункта, для расчета удельных размеров площадок различного функционального назначения следует принимать показатели не менее установленных в таблице 1. Расчет размеров площадок произведен на количество населения нового жилого фонда 15360 чел.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  <w:outlineLvl w:val="3"/>
      </w:pPr>
      <w:r>
        <w:t>Таблица N 1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</w:pPr>
      <w:r>
        <w:t>Технико-экономические показатели дворовой территории</w:t>
      </w:r>
    </w:p>
    <w:p w:rsidR="003E0D42" w:rsidRDefault="003E0D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1"/>
        <w:gridCol w:w="3345"/>
        <w:gridCol w:w="1275"/>
        <w:gridCol w:w="1276"/>
        <w:gridCol w:w="1077"/>
        <w:gridCol w:w="1408"/>
      </w:tblGrid>
      <w:tr w:rsidR="003E0D42">
        <w:tc>
          <w:tcPr>
            <w:tcW w:w="571" w:type="dxa"/>
            <w:vMerge w:val="restart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5" w:type="dxa"/>
            <w:vMerge w:val="restart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Площадки</w:t>
            </w:r>
          </w:p>
        </w:tc>
        <w:tc>
          <w:tcPr>
            <w:tcW w:w="1275" w:type="dxa"/>
            <w:vMerge w:val="restart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Население, чел.</w:t>
            </w:r>
          </w:p>
        </w:tc>
        <w:tc>
          <w:tcPr>
            <w:tcW w:w="1276" w:type="dxa"/>
            <w:vMerge w:val="restart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Удельные размеры площадок, кв. м/чел.</w:t>
            </w:r>
          </w:p>
        </w:tc>
        <w:tc>
          <w:tcPr>
            <w:tcW w:w="2485" w:type="dxa"/>
            <w:gridSpan w:val="2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Площадь, кв. м</w:t>
            </w:r>
          </w:p>
        </w:tc>
      </w:tr>
      <w:tr w:rsidR="003E0D42">
        <w:tc>
          <w:tcPr>
            <w:tcW w:w="571" w:type="dxa"/>
            <w:vMerge/>
          </w:tcPr>
          <w:p w:rsidR="003E0D42" w:rsidRDefault="003E0D42">
            <w:pPr>
              <w:pStyle w:val="ConsPlusNormal"/>
            </w:pPr>
          </w:p>
        </w:tc>
        <w:tc>
          <w:tcPr>
            <w:tcW w:w="3345" w:type="dxa"/>
            <w:vMerge/>
          </w:tcPr>
          <w:p w:rsidR="003E0D42" w:rsidRDefault="003E0D42">
            <w:pPr>
              <w:pStyle w:val="ConsPlusNormal"/>
            </w:pPr>
          </w:p>
        </w:tc>
        <w:tc>
          <w:tcPr>
            <w:tcW w:w="1275" w:type="dxa"/>
            <w:vMerge/>
          </w:tcPr>
          <w:p w:rsidR="003E0D42" w:rsidRDefault="003E0D42">
            <w:pPr>
              <w:pStyle w:val="ConsPlusNormal"/>
            </w:pPr>
          </w:p>
        </w:tc>
        <w:tc>
          <w:tcPr>
            <w:tcW w:w="1276" w:type="dxa"/>
            <w:vMerge/>
          </w:tcPr>
          <w:p w:rsidR="003E0D42" w:rsidRDefault="003E0D42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Нормативная</w:t>
            </w:r>
          </w:p>
        </w:tc>
        <w:tc>
          <w:tcPr>
            <w:tcW w:w="1408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Проектная</w:t>
            </w:r>
          </w:p>
        </w:tc>
      </w:tr>
      <w:tr w:rsidR="003E0D42">
        <w:tc>
          <w:tcPr>
            <w:tcW w:w="5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  <w:vAlign w:val="center"/>
          </w:tcPr>
          <w:p w:rsidR="003E0D42" w:rsidRDefault="003E0D42">
            <w:pPr>
              <w:pStyle w:val="ConsPlusNormal"/>
            </w:pPr>
            <w:r>
              <w:t>Для игр детей дошкольного и младшего школьного возраста</w:t>
            </w:r>
          </w:p>
        </w:tc>
        <w:tc>
          <w:tcPr>
            <w:tcW w:w="1275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15360</w:t>
            </w:r>
          </w:p>
        </w:tc>
        <w:tc>
          <w:tcPr>
            <w:tcW w:w="127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07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10752</w:t>
            </w:r>
          </w:p>
        </w:tc>
        <w:tc>
          <w:tcPr>
            <w:tcW w:w="1408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11500 &lt;*&gt;</w:t>
            </w:r>
          </w:p>
        </w:tc>
      </w:tr>
      <w:tr w:rsidR="003E0D42">
        <w:tc>
          <w:tcPr>
            <w:tcW w:w="5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  <w:vAlign w:val="center"/>
          </w:tcPr>
          <w:p w:rsidR="003E0D42" w:rsidRDefault="003E0D42">
            <w:pPr>
              <w:pStyle w:val="ConsPlusNormal"/>
            </w:pPr>
            <w:r>
              <w:t>Для отдыха взрослого населения</w:t>
            </w:r>
          </w:p>
        </w:tc>
        <w:tc>
          <w:tcPr>
            <w:tcW w:w="1275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15360</w:t>
            </w:r>
          </w:p>
        </w:tc>
        <w:tc>
          <w:tcPr>
            <w:tcW w:w="127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07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1536</w:t>
            </w:r>
          </w:p>
        </w:tc>
        <w:tc>
          <w:tcPr>
            <w:tcW w:w="1408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1700</w:t>
            </w:r>
          </w:p>
        </w:tc>
      </w:tr>
      <w:tr w:rsidR="003E0D42">
        <w:tc>
          <w:tcPr>
            <w:tcW w:w="5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5" w:type="dxa"/>
            <w:vAlign w:val="center"/>
          </w:tcPr>
          <w:p w:rsidR="003E0D42" w:rsidRDefault="003E0D42">
            <w:pPr>
              <w:pStyle w:val="ConsPlusNormal"/>
            </w:pPr>
            <w:r>
              <w:t>Для занятий физкультурой</w:t>
            </w:r>
          </w:p>
        </w:tc>
        <w:tc>
          <w:tcPr>
            <w:tcW w:w="1275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15360</w:t>
            </w:r>
          </w:p>
        </w:tc>
        <w:tc>
          <w:tcPr>
            <w:tcW w:w="127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07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30720</w:t>
            </w:r>
          </w:p>
        </w:tc>
        <w:tc>
          <w:tcPr>
            <w:tcW w:w="1408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22000 &lt;**&gt;</w:t>
            </w:r>
          </w:p>
        </w:tc>
      </w:tr>
      <w:tr w:rsidR="003E0D42">
        <w:tc>
          <w:tcPr>
            <w:tcW w:w="5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45" w:type="dxa"/>
            <w:vAlign w:val="center"/>
          </w:tcPr>
          <w:p w:rsidR="003E0D42" w:rsidRDefault="003E0D42">
            <w:pPr>
              <w:pStyle w:val="ConsPlusNormal"/>
            </w:pPr>
            <w:r>
              <w:t>Для хозяйственных целей и выгула собак</w:t>
            </w:r>
          </w:p>
        </w:tc>
        <w:tc>
          <w:tcPr>
            <w:tcW w:w="1275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15360</w:t>
            </w:r>
          </w:p>
        </w:tc>
        <w:tc>
          <w:tcPr>
            <w:tcW w:w="127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07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4608</w:t>
            </w:r>
          </w:p>
        </w:tc>
        <w:tc>
          <w:tcPr>
            <w:tcW w:w="1408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4610</w:t>
            </w:r>
          </w:p>
        </w:tc>
      </w:tr>
      <w:tr w:rsidR="003E0D42">
        <w:tc>
          <w:tcPr>
            <w:tcW w:w="5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5" w:type="dxa"/>
            <w:vAlign w:val="center"/>
          </w:tcPr>
          <w:p w:rsidR="003E0D42" w:rsidRDefault="003E0D42">
            <w:pPr>
              <w:pStyle w:val="ConsPlusNormal"/>
            </w:pPr>
            <w:r>
              <w:t>Для стоянки автомобилей</w:t>
            </w:r>
          </w:p>
        </w:tc>
        <w:tc>
          <w:tcPr>
            <w:tcW w:w="1275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15360</w:t>
            </w:r>
          </w:p>
        </w:tc>
        <w:tc>
          <w:tcPr>
            <w:tcW w:w="127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7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12288</w:t>
            </w:r>
          </w:p>
        </w:tc>
        <w:tc>
          <w:tcPr>
            <w:tcW w:w="1408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15500</w:t>
            </w:r>
          </w:p>
        </w:tc>
      </w:tr>
      <w:tr w:rsidR="003E0D42">
        <w:tc>
          <w:tcPr>
            <w:tcW w:w="5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45" w:type="dxa"/>
            <w:vAlign w:val="center"/>
          </w:tcPr>
          <w:p w:rsidR="003E0D42" w:rsidRDefault="003E0D42">
            <w:pPr>
              <w:pStyle w:val="ConsPlusNormal"/>
            </w:pPr>
            <w:r>
              <w:t>Озеленение</w:t>
            </w:r>
          </w:p>
        </w:tc>
        <w:tc>
          <w:tcPr>
            <w:tcW w:w="1275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15360</w:t>
            </w:r>
          </w:p>
        </w:tc>
        <w:tc>
          <w:tcPr>
            <w:tcW w:w="127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92160</w:t>
            </w:r>
          </w:p>
        </w:tc>
        <w:tc>
          <w:tcPr>
            <w:tcW w:w="1408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120000 &lt;***&gt;</w:t>
            </w:r>
          </w:p>
        </w:tc>
      </w:tr>
    </w:tbl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>Примечания: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&lt;*&gt; В указанную площадь включены детские игровые площадки, размещенные на внутридворовой территории, общая площадь которых составляет 7000 кв. м, а также детские площадки, размещенные на территории общего пользования, в том числе в прилегающих зонах рекреации </w:t>
      </w:r>
      <w:hyperlink r:id="rId29"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1</w:t>
        </w:r>
      </w:hyperlink>
      <w:r>
        <w:t xml:space="preserve"> - зоне зеленых насаждений общего пользования и </w:t>
      </w:r>
      <w:hyperlink r:id="rId30">
        <w:r>
          <w:rPr>
            <w:color w:val="0000FF"/>
          </w:rPr>
          <w:t>Р 5</w:t>
        </w:r>
      </w:hyperlink>
      <w:r>
        <w:t xml:space="preserve"> - прибрежной зоне отдыха, набережных, лугопарков общей площадью 4500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&lt;**&gt; На основании </w:t>
      </w:r>
      <w:hyperlink r:id="rId31">
        <w:r>
          <w:rPr>
            <w:color w:val="0000FF"/>
          </w:rPr>
          <w:t>пункта 3.2.21</w:t>
        </w:r>
      </w:hyperlink>
      <w:r>
        <w:t xml:space="preserve"> региональных нормативов допускается уменьшение до 50% удельных размеров площадок для занятий физкультурой при формировании единого физкультурно-оздоровительного комплекса микрорайона для школьников и населения, при этом удельный размер площадок для занятий физкультурой на планируемой территории составит 15360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В площадь, указанную в таблице, включены спортивные площадки, размещенные на внутридворовой территории, общая площадь которых составляет 9000 кв. м, а также спортивные площадки, размещенные на участках общего пользования, в том числе в прилегающих зонах рекреации </w:t>
      </w:r>
      <w:hyperlink r:id="rId32"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1</w:t>
        </w:r>
      </w:hyperlink>
      <w:r>
        <w:t xml:space="preserve"> - зоне зеленых насаждений общего пользования и </w:t>
      </w:r>
      <w:hyperlink r:id="rId33">
        <w:r>
          <w:rPr>
            <w:color w:val="0000FF"/>
          </w:rPr>
          <w:t>Р 5</w:t>
        </w:r>
      </w:hyperlink>
      <w:r>
        <w:t xml:space="preserve"> - прибрежной зоне отдыха, набережных, лугопарков" общей площадью 13000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Проектом предусмотрено размещение спортивного ядра с футбольным полем на территории школы. В зоне пешеходной доступности планируется развитие набережной для пробежек и велопрогулок населения. В пешеходной доступности предусмотрено размещение зоны отдыха и гимнастических площадок в сквере.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На планируемой территории выделен земельный участок по ул. Маршала Одинцова, 25е (кадастровый номер 36:34:0105006:7) для строительства спортивно-оздоровительного центра.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&lt;***&gt; В указанную площадь озеленения включена площадь озеленения внутридворовой территории, составляющая 4,5 га, а также озелененные территории общего пользования на планируемой территории площадью 7,5 га.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>Зона планируемого размещения объектов начального общего и среднего (полного) образования включает земельный участок площадью 3,9 га.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Согласно местным нормативам уровень обеспеченности общеобразовательными школами составляет 91 место на 1000 чел. Таким образом, на планируемой территории расчетное число учащихся в общеобразовательных школах составит 1398 чел. при расчетной численности населения 15360 чел.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На отведенной территории предполагается размещение общеобразовательной школы вместимостью до 1224 мест. Согласно СП 42.13330.2016 </w:t>
      </w:r>
      <w:hyperlink r:id="rId34">
        <w:r>
          <w:rPr>
            <w:color w:val="0000FF"/>
          </w:rPr>
          <w:t>прил. Д</w:t>
        </w:r>
      </w:hyperlink>
      <w:r>
        <w:t xml:space="preserve"> при вместимости школы 1224 учащихся площадь земельного участка принимается из расчета 23 кв. м на 1 учащегося. Земельный участок для размещения общеобразовательной школы при вместимости 1224 учащихся должен составлять не менее 2,81 га. Документацией по планировке территории зарезервирован участок площадью 38942 кв. м для размещения общеобразовательной школы вместимостью до 1224 мест, что соответствует требованиям к земельным участкам для общеобразовательных учреждений.</w:t>
      </w:r>
    </w:p>
    <w:p w:rsidR="003E0D42" w:rsidRDefault="003E0D42">
      <w:pPr>
        <w:pStyle w:val="ConsPlusNormal"/>
        <w:spacing w:before="220"/>
        <w:ind w:firstLine="540"/>
        <w:jc w:val="both"/>
      </w:pPr>
      <w:proofErr w:type="gramStart"/>
      <w:r>
        <w:t>Кроме того, по информации управления образования и молодежной политики администрации городского округа (исх. от 21.06.2017 N 3119/0102, от 16.01.2018 N 9137400), расположенные в непосредственной близости от планируемой территории образовательные учреждения (МБОУ СОШ N 52, МБОУ СОШ N 71, МБОУ СОШ N 19, МБОУ СОШ N 36) и новая школа на 1224 места смогут удовлетворить потребность жителей планируемого микрорайона по</w:t>
      </w:r>
      <w:proofErr w:type="gramEnd"/>
      <w:r>
        <w:t xml:space="preserve"> ул. Артамонова - Чуева в получении доступного общего образования.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На территории школы размещаются: учебно-опытная зона; физкультурно-спортивная зона; зона отдыха; хозяйственная зона.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Зона планируемого размещения объектов дошкольного образования включает земельный участок площадью 2 га.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35">
        <w:r>
          <w:rPr>
            <w:color w:val="0000FF"/>
          </w:rPr>
          <w:t>табл. 14</w:t>
        </w:r>
      </w:hyperlink>
      <w:r>
        <w:t xml:space="preserve"> местных нормативов, уровень обеспеченности детскими дошкольными учреждениями составляет 42 места на 1000 чел. Таким образом, на планируемой территории расчетное число детей в детских садах составит 645 чел. при расчетной численности населения 15360 чел.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На отведенной территории предполагается размещение двух детских садов на 300 мест с общей вместимостью - 600 мест.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Согласно проекту планировки дошкольные учреждения размещены на обособленном земельном участке, удаленном от магистральных улиц, коммунальных и промышленных предприятий, гаражей. На территории детских садов выделены следующие функциональные зоны: зона застройки; зона игровой территории; хозяйственная зона.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Кроме того, на земельных участках по ул. Артамонова, 34ж и ул. Маршала Одинцова, 25в на первых этажах проектируемых жилых домов планируется размещение 2 детских дошкольных учреждений дополнительного образования на 40 мест с общей вместимостью - 80 мест.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Зона планируемого размещения объектов торговли общей площадью 0,73 га включает в себя территорию торгового центра, размещенного на земельном участке по ул. Артамонова, 38д. Площадь застройки торгового центра составляет 0,25 га.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При разработке проектной документации будет произведен расчет сокращения и </w:t>
      </w:r>
      <w:r>
        <w:lastRenderedPageBreak/>
        <w:t>обоснования санитарно-защитной зоны торгового центра.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Зона планируемого размещения объектов инженерной инфраструктуры включает участки общей площадью 1,24 га, на которых расположены следующие инженерные сооружения: котельные, распределительный пункт, блочные трансформаторные подстанции, котельные с аварийными резервуарами для дизельного топлива, повысительные насосные станции, канализационные насосные станции (далее - КНС) хозяйственно-бытовых стоков, КНС дождевых стоков, шкафные газорегуляторные пункты. Инженерные сооружения расположены от жилых домов на расстоянии, регламентируемом действующими нормативами.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Для строительства локальных очистных сооружений документацией по планировке территории предусматривается отведение двух земельных участков, расположенных за границами планируемой территории: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земельный участок по ул. Артамонова площадью 2000 кв. м;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территория, расположенная юго-западнее земельного участка по ул. Маршала Одинцова, 25б, площадью 1200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Зона планируемого размещения объектов транспортной инфраструктуры включает участки общей площадью 2,4 га, выделенные для размещения многоэтажных стоянок индивидуальных легковых автомобилей.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На земельном участке по ул. Артамонова, 34/7 планируется размещение </w:t>
      </w:r>
      <w:proofErr w:type="gramStart"/>
      <w:r>
        <w:t>надземной</w:t>
      </w:r>
      <w:proofErr w:type="gramEnd"/>
      <w:r>
        <w:t xml:space="preserve"> гараж-стоянки для 100 парковочных мест.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Для строительства 2 многоэтажных гостевых стоянок индивидуальных легковых автомобилей выделены: земельный участок по ул. Маршала Одинцова, 25и площадью 0,4925 га (кадастровый номер 36:34:0000000:7014) и земельный участок по ул. Маршала Одинцова, 25л площадью 0,4613 га (кадастровый номер 36:34:0105006:386). Общее количество парковочных мест в многоэтажных гостевых стоянках составит ориентировочно 1000 шт.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Кроме того, документацией по планировке территории предлагается размещение многоэтажной гостевой автостоянки вместимостью до 1000 машин на территории, смежной с земельным участком по ул. Маршала Одинцова, 25б. Площадь земельного участка, на котором предлагается размещение многоэтажной гостевой автостоянки, составит ориентировочно 1,1 га.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При разработке проектной документации будут произведены расчет и обоснование санитарно-защитных зон надземных автостоянок.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Зона озелененных территорий общего пользования и спортивных сооружений общей площадью 7,5 га включает сквер, озелененные территории общего пользования на планируемой территории.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В целом общая площадь озелененных территорий, включая участки внутридворовой территории, составляет 12 га. Согласно региональным градостроительным нормативам уровень озеленения территории застройки в жилых районах должен составлять не менее 25%, включая суммарную площадь озелененной территории микрорайона (квартала), и занимает, соответственно, 25% общей площади планируемой территории.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36">
        <w:r>
          <w:rPr>
            <w:color w:val="0000FF"/>
          </w:rPr>
          <w:t>п. 3.2.18</w:t>
        </w:r>
      </w:hyperlink>
      <w:r>
        <w:t xml:space="preserve"> региональных нормативов площадь озеленения территории должна быть не менее 6 кв. м на 1 чел. Документацией по планировке территории предусмотрено 7 кв. м озелененной территории на 1 чел. при расчетной площади озеленения 12 га на 15360 чел.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Показатели по застройке приняты из укрупненных расчетов. Данные значения будут откорректированы при разработке </w:t>
      </w:r>
      <w:proofErr w:type="gramStart"/>
      <w:r>
        <w:t>индивидуальных проектов</w:t>
      </w:r>
      <w:proofErr w:type="gramEnd"/>
      <w:r>
        <w:t xml:space="preserve"> зданий и сооружений. Каждый </w:t>
      </w:r>
      <w:proofErr w:type="gramStart"/>
      <w:r>
        <w:lastRenderedPageBreak/>
        <w:t>индивидуальный проект</w:t>
      </w:r>
      <w:proofErr w:type="gramEnd"/>
      <w:r>
        <w:t xml:space="preserve"> должен пройти согласование в установленном порядке.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IV. Транспортная инфраструктура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>Основой транспортной схемы планируемой территории является транспортная схема, утвержденная в составе Генерального плана, которой определена трассировка улично-дорожной сети, маршрутизация общественного транспорта и принята классификация улиц.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Документация по планировке территории сохраняет в своей основе исторически сложившуюся структуру улиц, заложенную на предыдущих этапах проектирования, учитывает природно-климатические и ландшафтные условия.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Ширина улиц в красных линиях определена с учетом санитарно-гигиенических требований в зависимости от категорий улиц и дорог, интенсивности движения транспорта и пешеходов, наличия технических полос для прокладки инженерных коммуникаций.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Основной въезд на планируемую территорию осуществляется по ул. Артамонова и по переулку Богдана Хмельницкого с ул. Богдана Хмельницкого, обеспечивающей транспортную связь проектируемой территории с общегородским центром.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В пределах селитебного образования предусматривается создание магистралей районного и местного значения, обеспечивающих пешеходную и автотранспортную связь в планировочном районе с выходом на магистральную улицу общегородского значения регулируемого движения - ул. Богдана Хмельницкого.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Документацией по планировке территории предусматривается реконструкция существующих транспортных связей - расширение проезжих частей по переулку Богдана Хмельницкого и по ул. Артамонова с устройством тротуаров.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Основные пешеходные связи обеспечивают удобную пешеходную доступность объектов обслуживания, остановок общественного транспорта и зон отдыха. Ширина тротуаров принята с учетом категории и назначения улиц в зависимости от размеров пешеходного движения.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Проезды, подъезды, площадки для парковки автотранспорта закладываются капитального типа с асфальтобетонным покрытием, тротуары и пешеходные дорожки - с покрытием из тротуарной плитки сухого прессования.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V. Инженерная инфраструктура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>Документацией по планировке территории предложены принципиальные решения по развитию инженерной инфраструктуры в границах рассматриваемой территории, которые приняты с учетом общей схемы развития объектов инженерной инфраструктуры, утвержденной в составе Генерального плана.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  <w:outlineLvl w:val="3"/>
      </w:pPr>
      <w:r>
        <w:t>Таблица N 2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</w:pPr>
      <w:r>
        <w:t>Инженерное обеспечение территории</w:t>
      </w:r>
    </w:p>
    <w:p w:rsidR="003E0D42" w:rsidRDefault="003E0D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3175"/>
      </w:tblGrid>
      <w:tr w:rsidR="003E0D42">
        <w:tc>
          <w:tcPr>
            <w:tcW w:w="3969" w:type="dxa"/>
          </w:tcPr>
          <w:p w:rsidR="003E0D42" w:rsidRDefault="003E0D42">
            <w:pPr>
              <w:pStyle w:val="ConsPlusNormal"/>
            </w:pPr>
            <w:r>
              <w:t>Водоснабжение территории</w:t>
            </w:r>
          </w:p>
        </w:tc>
        <w:tc>
          <w:tcPr>
            <w:tcW w:w="3175" w:type="dxa"/>
          </w:tcPr>
          <w:p w:rsidR="003E0D42" w:rsidRDefault="003E0D42">
            <w:pPr>
              <w:pStyle w:val="ConsPlusNormal"/>
              <w:jc w:val="both"/>
            </w:pPr>
            <w:r>
              <w:t>4224 куб. м/сут.</w:t>
            </w:r>
          </w:p>
        </w:tc>
      </w:tr>
      <w:tr w:rsidR="003E0D42">
        <w:tc>
          <w:tcPr>
            <w:tcW w:w="3969" w:type="dxa"/>
          </w:tcPr>
          <w:p w:rsidR="003E0D42" w:rsidRDefault="003E0D42">
            <w:pPr>
              <w:pStyle w:val="ConsPlusNormal"/>
            </w:pPr>
            <w:r>
              <w:t>Водопотребление на полив зеленых насаждений</w:t>
            </w:r>
          </w:p>
        </w:tc>
        <w:tc>
          <w:tcPr>
            <w:tcW w:w="3175" w:type="dxa"/>
          </w:tcPr>
          <w:p w:rsidR="003E0D42" w:rsidRDefault="003E0D42">
            <w:pPr>
              <w:pStyle w:val="ConsPlusNormal"/>
              <w:jc w:val="both"/>
            </w:pPr>
            <w:r>
              <w:t>768 куб. м/сут.</w:t>
            </w:r>
          </w:p>
        </w:tc>
      </w:tr>
      <w:tr w:rsidR="003E0D42">
        <w:tc>
          <w:tcPr>
            <w:tcW w:w="3969" w:type="dxa"/>
          </w:tcPr>
          <w:p w:rsidR="003E0D42" w:rsidRDefault="003E0D42">
            <w:pPr>
              <w:pStyle w:val="ConsPlusNormal"/>
            </w:pPr>
            <w:r>
              <w:t>Водоотведение</w:t>
            </w:r>
          </w:p>
        </w:tc>
        <w:tc>
          <w:tcPr>
            <w:tcW w:w="3175" w:type="dxa"/>
          </w:tcPr>
          <w:p w:rsidR="003E0D42" w:rsidRDefault="003E0D42">
            <w:pPr>
              <w:pStyle w:val="ConsPlusNormal"/>
              <w:jc w:val="both"/>
            </w:pPr>
            <w:r>
              <w:t>4224 куб. м/сут.</w:t>
            </w:r>
          </w:p>
        </w:tc>
      </w:tr>
      <w:tr w:rsidR="003E0D42">
        <w:tc>
          <w:tcPr>
            <w:tcW w:w="3969" w:type="dxa"/>
          </w:tcPr>
          <w:p w:rsidR="003E0D42" w:rsidRDefault="003E0D42">
            <w:pPr>
              <w:pStyle w:val="ConsPlusNormal"/>
            </w:pPr>
            <w:r>
              <w:lastRenderedPageBreak/>
              <w:t>Электропотребление</w:t>
            </w:r>
          </w:p>
        </w:tc>
        <w:tc>
          <w:tcPr>
            <w:tcW w:w="3175" w:type="dxa"/>
          </w:tcPr>
          <w:p w:rsidR="003E0D42" w:rsidRDefault="003E0D42">
            <w:pPr>
              <w:pStyle w:val="ConsPlusNormal"/>
              <w:jc w:val="both"/>
            </w:pPr>
            <w:r>
              <w:t>34709 тыс. кВт·</w:t>
            </w:r>
            <w:proofErr w:type="gramStart"/>
            <w:r>
              <w:t>ч</w:t>
            </w:r>
            <w:proofErr w:type="gramEnd"/>
            <w:r>
              <w:t>/год</w:t>
            </w:r>
          </w:p>
        </w:tc>
      </w:tr>
      <w:tr w:rsidR="003E0D42">
        <w:tc>
          <w:tcPr>
            <w:tcW w:w="3969" w:type="dxa"/>
          </w:tcPr>
          <w:p w:rsidR="003E0D42" w:rsidRDefault="003E0D42">
            <w:pPr>
              <w:pStyle w:val="ConsPlusNormal"/>
            </w:pPr>
            <w:r>
              <w:t>Теплоснабжение</w:t>
            </w:r>
          </w:p>
        </w:tc>
        <w:tc>
          <w:tcPr>
            <w:tcW w:w="3175" w:type="dxa"/>
          </w:tcPr>
          <w:p w:rsidR="003E0D42" w:rsidRDefault="003E0D42">
            <w:pPr>
              <w:pStyle w:val="ConsPlusNormal"/>
              <w:jc w:val="both"/>
            </w:pPr>
            <w:r>
              <w:t>133559,66 Гкал/год</w:t>
            </w:r>
          </w:p>
        </w:tc>
      </w:tr>
      <w:tr w:rsidR="003E0D42">
        <w:tc>
          <w:tcPr>
            <w:tcW w:w="3969" w:type="dxa"/>
          </w:tcPr>
          <w:p w:rsidR="003E0D42" w:rsidRDefault="003E0D42">
            <w:pPr>
              <w:pStyle w:val="ConsPlusNormal"/>
            </w:pPr>
            <w:r>
              <w:t>Газоснабжение</w:t>
            </w:r>
          </w:p>
        </w:tc>
        <w:tc>
          <w:tcPr>
            <w:tcW w:w="3175" w:type="dxa"/>
          </w:tcPr>
          <w:p w:rsidR="003E0D42" w:rsidRDefault="003E0D42">
            <w:pPr>
              <w:pStyle w:val="ConsPlusNormal"/>
              <w:jc w:val="both"/>
            </w:pPr>
            <w:r>
              <w:t>17567,87 тыс. н. куб. м/год</w:t>
            </w:r>
          </w:p>
        </w:tc>
      </w:tr>
    </w:tbl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VI. Социальное и культурно-бытовое обслуживание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>Сложившаяся структура культурно-бытового обслуживания характеризуется сосредоточением большей части учреждений городского значения в Центральном и Ленинском районах города. В этих районах, где сформировался центр города, расположены основные административные, общественные и хозяйственные организации города, а также учреждения культурно-бытового обслуживания.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На планируемой территории расположен объект социальной инфраструктуры повседневного обслуживания - торговый центр.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Помещения общественного назначения предусмотрены во встроенно-пристроенных нежилых помещениях, расположенных на первых этажах жилых домов.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Расчет объектов социального обслуживания, размещенных на планируемой территории с учетом расчетной численности населения 15360 человек, представлен в таблице N 3: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  <w:outlineLvl w:val="3"/>
      </w:pPr>
      <w:r>
        <w:t>Таблица N 3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</w:pPr>
      <w:r>
        <w:t>Социальное обслуживание территории</w:t>
      </w:r>
    </w:p>
    <w:p w:rsidR="003E0D42" w:rsidRDefault="003E0D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1871"/>
        <w:gridCol w:w="1386"/>
        <w:gridCol w:w="1417"/>
        <w:gridCol w:w="1984"/>
      </w:tblGrid>
      <w:tr w:rsidR="003E0D42">
        <w:tc>
          <w:tcPr>
            <w:tcW w:w="2324" w:type="dxa"/>
          </w:tcPr>
          <w:p w:rsidR="003E0D42" w:rsidRDefault="003E0D42">
            <w:pPr>
              <w:pStyle w:val="ConsPlusNormal"/>
              <w:jc w:val="center"/>
            </w:pPr>
            <w:r>
              <w:t>Объекты обслуживания</w:t>
            </w:r>
          </w:p>
        </w:tc>
        <w:tc>
          <w:tcPr>
            <w:tcW w:w="1871" w:type="dxa"/>
          </w:tcPr>
          <w:p w:rsidR="003E0D42" w:rsidRDefault="003E0D42">
            <w:pPr>
              <w:pStyle w:val="ConsPlusNormal"/>
              <w:jc w:val="center"/>
            </w:pPr>
            <w:r>
              <w:t>Рекомендуемая обеспеченность</w:t>
            </w:r>
          </w:p>
        </w:tc>
        <w:tc>
          <w:tcPr>
            <w:tcW w:w="1386" w:type="dxa"/>
          </w:tcPr>
          <w:p w:rsidR="003E0D42" w:rsidRDefault="003E0D42">
            <w:pPr>
              <w:pStyle w:val="ConsPlusNormal"/>
              <w:jc w:val="center"/>
            </w:pPr>
            <w:r>
              <w:t>Требуется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Размещено</w:t>
            </w:r>
          </w:p>
        </w:tc>
        <w:tc>
          <w:tcPr>
            <w:tcW w:w="1984" w:type="dxa"/>
          </w:tcPr>
          <w:p w:rsidR="003E0D42" w:rsidRDefault="003E0D42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3E0D42">
        <w:tc>
          <w:tcPr>
            <w:tcW w:w="2324" w:type="dxa"/>
          </w:tcPr>
          <w:p w:rsidR="003E0D42" w:rsidRDefault="003E0D42">
            <w:pPr>
              <w:pStyle w:val="ConsPlusNormal"/>
            </w:pPr>
            <w:r>
              <w:t>Общеобразовательная школа</w:t>
            </w:r>
          </w:p>
        </w:tc>
        <w:tc>
          <w:tcPr>
            <w:tcW w:w="1871" w:type="dxa"/>
          </w:tcPr>
          <w:p w:rsidR="003E0D42" w:rsidRDefault="003E0D42">
            <w:pPr>
              <w:pStyle w:val="ConsPlusNormal"/>
              <w:jc w:val="center"/>
            </w:pPr>
            <w:r>
              <w:t>91 место на 1000 чел.</w:t>
            </w:r>
          </w:p>
        </w:tc>
        <w:tc>
          <w:tcPr>
            <w:tcW w:w="1386" w:type="dxa"/>
          </w:tcPr>
          <w:p w:rsidR="003E0D42" w:rsidRDefault="003E0D42">
            <w:pPr>
              <w:pStyle w:val="ConsPlusNormal"/>
              <w:jc w:val="center"/>
            </w:pPr>
            <w:r>
              <w:t>1398 мест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1224 места</w:t>
            </w:r>
          </w:p>
        </w:tc>
        <w:tc>
          <w:tcPr>
            <w:tcW w:w="1984" w:type="dxa"/>
          </w:tcPr>
          <w:p w:rsidR="003E0D42" w:rsidRDefault="003E0D42">
            <w:pPr>
              <w:pStyle w:val="ConsPlusNormal"/>
              <w:jc w:val="center"/>
            </w:pPr>
            <w:r>
              <w:t>школа вместимостью 1224 места, МБОУ СОШ N 52, N 71, N 19, N 36</w:t>
            </w:r>
          </w:p>
        </w:tc>
      </w:tr>
      <w:tr w:rsidR="003E0D42">
        <w:tc>
          <w:tcPr>
            <w:tcW w:w="2324" w:type="dxa"/>
          </w:tcPr>
          <w:p w:rsidR="003E0D42" w:rsidRDefault="003E0D42">
            <w:pPr>
              <w:pStyle w:val="ConsPlusNormal"/>
            </w:pPr>
            <w:r>
              <w:t>Дошкольное учреждение</w:t>
            </w:r>
          </w:p>
        </w:tc>
        <w:tc>
          <w:tcPr>
            <w:tcW w:w="1871" w:type="dxa"/>
          </w:tcPr>
          <w:p w:rsidR="003E0D42" w:rsidRDefault="003E0D42">
            <w:pPr>
              <w:pStyle w:val="ConsPlusNormal"/>
              <w:jc w:val="center"/>
            </w:pPr>
            <w:r>
              <w:t>42 места на 1000 чел.</w:t>
            </w:r>
          </w:p>
        </w:tc>
        <w:tc>
          <w:tcPr>
            <w:tcW w:w="1386" w:type="dxa"/>
          </w:tcPr>
          <w:p w:rsidR="003E0D42" w:rsidRDefault="003E0D42">
            <w:pPr>
              <w:pStyle w:val="ConsPlusNormal"/>
              <w:jc w:val="center"/>
            </w:pPr>
            <w:r>
              <w:t>645 мест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680 мест</w:t>
            </w:r>
          </w:p>
        </w:tc>
        <w:tc>
          <w:tcPr>
            <w:tcW w:w="1984" w:type="dxa"/>
          </w:tcPr>
          <w:p w:rsidR="003E0D42" w:rsidRDefault="003E0D42">
            <w:pPr>
              <w:pStyle w:val="ConsPlusNormal"/>
              <w:jc w:val="center"/>
            </w:pPr>
            <w:r>
              <w:t>2 детских сада на 300 мест каждый, 2 встроенных дошкольных учреждения дополнительного образования по 40 мест каждое</w:t>
            </w:r>
          </w:p>
        </w:tc>
      </w:tr>
      <w:tr w:rsidR="003E0D42">
        <w:tc>
          <w:tcPr>
            <w:tcW w:w="2324" w:type="dxa"/>
            <w:vAlign w:val="center"/>
          </w:tcPr>
          <w:p w:rsidR="003E0D42" w:rsidRDefault="003E0D42">
            <w:pPr>
              <w:pStyle w:val="ConsPlusNormal"/>
            </w:pPr>
            <w:r>
              <w:t>Предприятия торговли продовольственными товарами</w:t>
            </w:r>
          </w:p>
        </w:tc>
        <w:tc>
          <w:tcPr>
            <w:tcW w:w="18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70 кв. м торговой площади на 1 тыс. чел.</w:t>
            </w:r>
          </w:p>
        </w:tc>
        <w:tc>
          <w:tcPr>
            <w:tcW w:w="138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1075 кв. м</w:t>
            </w:r>
          </w:p>
        </w:tc>
        <w:tc>
          <w:tcPr>
            <w:tcW w:w="141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1200 кв. м</w:t>
            </w:r>
          </w:p>
        </w:tc>
        <w:tc>
          <w:tcPr>
            <w:tcW w:w="1984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 xml:space="preserve">в торговом центре, а также </w:t>
            </w:r>
            <w:proofErr w:type="gramStart"/>
            <w:r>
              <w:t>встроенно-пристроенные</w:t>
            </w:r>
            <w:proofErr w:type="gramEnd"/>
          </w:p>
        </w:tc>
      </w:tr>
      <w:tr w:rsidR="003E0D42">
        <w:tc>
          <w:tcPr>
            <w:tcW w:w="2324" w:type="dxa"/>
            <w:vAlign w:val="center"/>
          </w:tcPr>
          <w:p w:rsidR="003E0D42" w:rsidRDefault="003E0D42">
            <w:pPr>
              <w:pStyle w:val="ConsPlusNormal"/>
            </w:pPr>
            <w:r>
              <w:t>Предприятия торговли непродовольственными товарами</w:t>
            </w:r>
          </w:p>
        </w:tc>
        <w:tc>
          <w:tcPr>
            <w:tcW w:w="18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30 кв. м торговой площади на 1 тыс. чел.</w:t>
            </w:r>
          </w:p>
        </w:tc>
        <w:tc>
          <w:tcPr>
            <w:tcW w:w="138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461 кв. м</w:t>
            </w:r>
          </w:p>
        </w:tc>
        <w:tc>
          <w:tcPr>
            <w:tcW w:w="141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800 кв. м</w:t>
            </w:r>
          </w:p>
        </w:tc>
        <w:tc>
          <w:tcPr>
            <w:tcW w:w="1984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 xml:space="preserve">в торговом центре, а также </w:t>
            </w:r>
            <w:proofErr w:type="gramStart"/>
            <w:r>
              <w:t>встроенно-пристроенные</w:t>
            </w:r>
            <w:proofErr w:type="gramEnd"/>
          </w:p>
        </w:tc>
      </w:tr>
      <w:tr w:rsidR="003E0D42">
        <w:tc>
          <w:tcPr>
            <w:tcW w:w="2324" w:type="dxa"/>
            <w:vAlign w:val="center"/>
          </w:tcPr>
          <w:p w:rsidR="003E0D42" w:rsidRDefault="003E0D42">
            <w:pPr>
              <w:pStyle w:val="ConsPlusNormal"/>
            </w:pPr>
            <w:r>
              <w:t xml:space="preserve">Предприятия </w:t>
            </w:r>
            <w:r>
              <w:lastRenderedPageBreak/>
              <w:t>общественного питания</w:t>
            </w:r>
          </w:p>
        </w:tc>
        <w:tc>
          <w:tcPr>
            <w:tcW w:w="18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lastRenderedPageBreak/>
              <w:t xml:space="preserve">8 мест на 1 тыс. </w:t>
            </w:r>
            <w:r>
              <w:lastRenderedPageBreak/>
              <w:t>чел.</w:t>
            </w:r>
          </w:p>
        </w:tc>
        <w:tc>
          <w:tcPr>
            <w:tcW w:w="138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lastRenderedPageBreak/>
              <w:t>123 места</w:t>
            </w:r>
          </w:p>
        </w:tc>
        <w:tc>
          <w:tcPr>
            <w:tcW w:w="141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140 мест</w:t>
            </w:r>
          </w:p>
        </w:tc>
        <w:tc>
          <w:tcPr>
            <w:tcW w:w="1984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в торговом центре</w:t>
            </w:r>
          </w:p>
        </w:tc>
      </w:tr>
      <w:tr w:rsidR="003E0D42">
        <w:tc>
          <w:tcPr>
            <w:tcW w:w="2324" w:type="dxa"/>
            <w:vAlign w:val="center"/>
          </w:tcPr>
          <w:p w:rsidR="003E0D42" w:rsidRDefault="003E0D42">
            <w:pPr>
              <w:pStyle w:val="ConsPlusNormal"/>
            </w:pPr>
            <w:r>
              <w:lastRenderedPageBreak/>
              <w:t>Предприятия бытового обслуживания</w:t>
            </w:r>
          </w:p>
        </w:tc>
        <w:tc>
          <w:tcPr>
            <w:tcW w:w="18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2 рабочих места на 1 тыс. чел.</w:t>
            </w:r>
          </w:p>
        </w:tc>
        <w:tc>
          <w:tcPr>
            <w:tcW w:w="138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31 рабочее место</w:t>
            </w:r>
          </w:p>
        </w:tc>
        <w:tc>
          <w:tcPr>
            <w:tcW w:w="141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35 рабочих мест</w:t>
            </w:r>
          </w:p>
        </w:tc>
        <w:tc>
          <w:tcPr>
            <w:tcW w:w="1984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 xml:space="preserve">в торговом центре, а также </w:t>
            </w:r>
            <w:proofErr w:type="gramStart"/>
            <w:r>
              <w:t>встроенно-пристроенные</w:t>
            </w:r>
            <w:proofErr w:type="gramEnd"/>
          </w:p>
        </w:tc>
      </w:tr>
      <w:tr w:rsidR="003E0D42">
        <w:tc>
          <w:tcPr>
            <w:tcW w:w="2324" w:type="dxa"/>
            <w:vAlign w:val="center"/>
          </w:tcPr>
          <w:p w:rsidR="003E0D42" w:rsidRDefault="003E0D42">
            <w:pPr>
              <w:pStyle w:val="ConsPlusNormal"/>
            </w:pPr>
            <w:r>
              <w:t>Аптека</w:t>
            </w:r>
          </w:p>
        </w:tc>
        <w:tc>
          <w:tcPr>
            <w:tcW w:w="18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 объект на 20 тыс. чел.</w:t>
            </w:r>
          </w:p>
        </w:tc>
        <w:tc>
          <w:tcPr>
            <w:tcW w:w="138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 объект</w:t>
            </w:r>
          </w:p>
        </w:tc>
        <w:tc>
          <w:tcPr>
            <w:tcW w:w="141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2 объекта</w:t>
            </w:r>
          </w:p>
        </w:tc>
        <w:tc>
          <w:tcPr>
            <w:tcW w:w="1984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встроенно-пристроенные</w:t>
            </w:r>
          </w:p>
        </w:tc>
      </w:tr>
      <w:tr w:rsidR="003E0D42">
        <w:tc>
          <w:tcPr>
            <w:tcW w:w="2324" w:type="dxa"/>
            <w:vAlign w:val="center"/>
          </w:tcPr>
          <w:p w:rsidR="003E0D42" w:rsidRDefault="003E0D42">
            <w:pPr>
              <w:pStyle w:val="ConsPlusNormal"/>
            </w:pPr>
            <w:r>
              <w:t>Филиал банка</w:t>
            </w:r>
          </w:p>
        </w:tc>
        <w:tc>
          <w:tcPr>
            <w:tcW w:w="18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 операционное место на 2 - 3 тыс. чел.</w:t>
            </w:r>
          </w:p>
        </w:tc>
        <w:tc>
          <w:tcPr>
            <w:tcW w:w="138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6 операционных мест</w:t>
            </w:r>
          </w:p>
        </w:tc>
        <w:tc>
          <w:tcPr>
            <w:tcW w:w="141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6 операционных мест</w:t>
            </w:r>
          </w:p>
        </w:tc>
        <w:tc>
          <w:tcPr>
            <w:tcW w:w="1984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 xml:space="preserve">в торговом центре, а также </w:t>
            </w:r>
            <w:proofErr w:type="gramStart"/>
            <w:r>
              <w:t>встроенно-пристроенные</w:t>
            </w:r>
            <w:proofErr w:type="gramEnd"/>
          </w:p>
        </w:tc>
      </w:tr>
      <w:tr w:rsidR="003E0D42">
        <w:tc>
          <w:tcPr>
            <w:tcW w:w="2324" w:type="dxa"/>
            <w:vAlign w:val="center"/>
          </w:tcPr>
          <w:p w:rsidR="003E0D42" w:rsidRDefault="003E0D42">
            <w:pPr>
              <w:pStyle w:val="ConsPlusNormal"/>
            </w:pPr>
            <w:r>
              <w:t>Жилищно-эксплуатационные службы</w:t>
            </w:r>
          </w:p>
        </w:tc>
        <w:tc>
          <w:tcPr>
            <w:tcW w:w="18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 объект на 20 тыс. чел.</w:t>
            </w:r>
          </w:p>
        </w:tc>
        <w:tc>
          <w:tcPr>
            <w:tcW w:w="138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 объект</w:t>
            </w:r>
          </w:p>
        </w:tc>
        <w:tc>
          <w:tcPr>
            <w:tcW w:w="141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 объект</w:t>
            </w:r>
          </w:p>
        </w:tc>
        <w:tc>
          <w:tcPr>
            <w:tcW w:w="1984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встроенно-пристроенный</w:t>
            </w:r>
          </w:p>
        </w:tc>
      </w:tr>
      <w:tr w:rsidR="003E0D42">
        <w:tc>
          <w:tcPr>
            <w:tcW w:w="2324" w:type="dxa"/>
            <w:vAlign w:val="center"/>
          </w:tcPr>
          <w:p w:rsidR="003E0D42" w:rsidRDefault="003E0D42">
            <w:pPr>
              <w:pStyle w:val="ConsPlusNormal"/>
            </w:pPr>
            <w:r>
              <w:t>Помещения досуга и любительской деятельности</w:t>
            </w:r>
          </w:p>
        </w:tc>
        <w:tc>
          <w:tcPr>
            <w:tcW w:w="18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50 кв. м на 1 тыс. чел.</w:t>
            </w:r>
          </w:p>
        </w:tc>
        <w:tc>
          <w:tcPr>
            <w:tcW w:w="138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768 кв. м</w:t>
            </w:r>
          </w:p>
        </w:tc>
        <w:tc>
          <w:tcPr>
            <w:tcW w:w="141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850 кв. м</w:t>
            </w:r>
          </w:p>
        </w:tc>
        <w:tc>
          <w:tcPr>
            <w:tcW w:w="1984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 xml:space="preserve">в торговом центре, а также </w:t>
            </w:r>
            <w:proofErr w:type="gramStart"/>
            <w:r>
              <w:t>встроенно-пристроенные</w:t>
            </w:r>
            <w:proofErr w:type="gramEnd"/>
          </w:p>
        </w:tc>
      </w:tr>
      <w:tr w:rsidR="003E0D42">
        <w:tc>
          <w:tcPr>
            <w:tcW w:w="2324" w:type="dxa"/>
            <w:vAlign w:val="center"/>
          </w:tcPr>
          <w:p w:rsidR="003E0D42" w:rsidRDefault="003E0D42">
            <w:pPr>
              <w:pStyle w:val="ConsPlusNormal"/>
            </w:pPr>
            <w:r>
              <w:t>Опорный пункт охраны правопорядка</w:t>
            </w:r>
          </w:p>
        </w:tc>
        <w:tc>
          <w:tcPr>
            <w:tcW w:w="1871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10 кв. м на 1 тыс. чел.</w:t>
            </w:r>
          </w:p>
        </w:tc>
        <w:tc>
          <w:tcPr>
            <w:tcW w:w="1386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153 кв. м</w:t>
            </w:r>
          </w:p>
        </w:tc>
        <w:tc>
          <w:tcPr>
            <w:tcW w:w="141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170 кв. м</w:t>
            </w:r>
          </w:p>
        </w:tc>
        <w:tc>
          <w:tcPr>
            <w:tcW w:w="1984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встроенно-пристроенные</w:t>
            </w:r>
          </w:p>
        </w:tc>
      </w:tr>
    </w:tbl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VII. Объекты социального обслуживания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>Для обеспечения планируемой территории, ограниченной улицами: Артамонова, Маршала Одинцова, набережной Чуева в городском округе город Воронеж, дошкольными учреждениями в зоне размещения объектов дошкольного образования площадью 2 га запланировано размещение 2 детских садов на 300 мест с общей вместимостью 600 мест.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На земельных участках по ул. Артамонова, 34ж и ул. Маршала Одинцова, 25в на первых этажах проектируемых жилых домов планируется размещение 2 дошкольных учреждений дополнительного образования на 40 мест с общей вместимостью 80 мест.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Документацией по планировке территории в зоне планируемого размещения объектов начального общего и среднего (полного) образования, на земельном участке 3,9 га планируется размещение общеобразовательной школы вместимостью 1224 места.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VIII. Расчет обеспечения планируемой территории</w:t>
      </w:r>
    </w:p>
    <w:p w:rsidR="003E0D42" w:rsidRDefault="003E0D42">
      <w:pPr>
        <w:pStyle w:val="ConsPlusNormal"/>
        <w:jc w:val="center"/>
      </w:pPr>
      <w:r>
        <w:t>машино-местами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proofErr w:type="gramStart"/>
      <w:r>
        <w:t xml:space="preserve">Согласно </w:t>
      </w:r>
      <w:hyperlink r:id="rId37">
        <w:r>
          <w:rPr>
            <w:color w:val="0000FF"/>
          </w:rPr>
          <w:t>п. 1.3.10.4</w:t>
        </w:r>
      </w:hyperlink>
      <w:r>
        <w:t xml:space="preserve"> региональных нормативов градостроительного проектирования, утвержденных приказом управления архитектуры и градостроительства Воронежской области от 09.10.2017 N 45-01-04/115, общее расчетное количество парковочных мест в зоне застройки жилыми домами определяется как сумма мест гостевых стоянок (из расчета 40 мест на 1000 жителей) и мест паркования, хранения легкового автотранспорта, из расчета 1 машино-место на 80 кв. м общей площади квартир</w:t>
      </w:r>
      <w:proofErr w:type="gramEnd"/>
      <w:r>
        <w:t>. При расчетном количестве жителей 15360 человек и общей площади квартир 460,787 тыс. кв. м на планируемой территории количество гостевых стоянок составит 615 машино-мест, требуемое количество мест для паркования, хранения легкового автотранспорта, принадлежащего жителям, составит 5760 машино-мест. Таким образом, общее расчетное количество парковочных мест индивидуальных легковых автомобилей и гостевых парковочных мест составляет 56375 машино-мест.</w:t>
      </w:r>
    </w:p>
    <w:p w:rsidR="003E0D42" w:rsidRDefault="003E0D42">
      <w:pPr>
        <w:pStyle w:val="ConsPlusNormal"/>
        <w:spacing w:before="220"/>
        <w:ind w:firstLine="540"/>
        <w:jc w:val="both"/>
      </w:pPr>
      <w:proofErr w:type="gramStart"/>
      <w:r>
        <w:lastRenderedPageBreak/>
        <w:t>На планируемой территории размещены:</w:t>
      </w:r>
      <w:proofErr w:type="gramEnd"/>
    </w:p>
    <w:p w:rsidR="003E0D42" w:rsidRDefault="003E0D42">
      <w:pPr>
        <w:pStyle w:val="ConsPlusNormal"/>
        <w:spacing w:before="220"/>
        <w:ind w:firstLine="540"/>
        <w:jc w:val="both"/>
      </w:pPr>
      <w:r>
        <w:t>- надземная автостоянка на 100 машино-мест, расположенная на земельном участке по ул. Артамонова, 34/7;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надземная автостоянка на 600 машино-мест, расположенная на земельном участке по ул. Маршала Одинцова, 25и, выделенном для строительства многоэтажной стоянки индивидуальных легковых автомобилей;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надземная автостоянка на 500 машино-мест, расположенная на земельном участке по ул. Маршала Одинцова, 25л, выделенном для строительства многоэтажной стоянки индивидуальных легковых автомобилей;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автостоянка на 50 машино-мест предусмотрена в торговом центре на земельном участке по ул. Артамонова, 38д;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надземная гостевая автостоянка на 1000 машино-мест, расположенная на резервируемой территории южнее земельного участка по ул. М. Одинцова, 25б;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- 2 подземные парковки по 130 мест каждая с общей вместимостью на 260 машино-мест, расположенные на внутридворовой территории на земельных участках по ул. Артамонова, 34ж, и Маршала Одинцова, 25в;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открытые наземные гостевые автостоянки, предусмотренные на внутридворовой территории и на участках общего пользования с общим количеством парковочных мест для 3865 машин.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Таким образом, всего на планируемой территории предусматривается размещение 6375 мест для постоянного и временного хранения индивидуальных легковых автомобилей, в том числе: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размещение 2200 машино-мест предусматривается в многоэтажных надземных парковках;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размещение 50 машино-мест планируется в парковке на территории торгового центра;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- 260 машино-мест планируется разместить в подземных парковках;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размещение 3865 парковочных мест предусматривается на наземных открытых гостевых стоянках, расположенных на внутридворовой территории, на участках общего пользования в границах планируемой территории, в границах санитарно-защитных зон очистных сооружений, используемых для организации открытых автостоянок, а также в уширениях проезжих частей, организованных вдоль улиц и дорог для временного хранения автомобилей.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IX. Проект межевания территории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>Проект межевания планируемой территории произведен в соответствии с планировочной схемой территории в целях установления границ земельных участков, планируемых под застройку. Чертеж межевания территории выполнен с учетом проектируемых красных линий, допустимого размещения зданий, строений, сооружений и выявлением территорий общего пользования. Планируемая территория делится на 64 участка.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1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- 441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канализационной насосной 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Участок N 2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- 10028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3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- 155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4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- 4820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5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- 6013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6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- 5804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7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- 4356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8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- 364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распределительной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9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- 336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насосной станции водоснабжения.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10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- 9307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11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- 190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Участок N 12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- 5451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13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- 334 кв. м. Участок выделен для размещения насосной станции водоснабжения.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14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- 6877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15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- 162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16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- 5579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17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- 104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газораспределительного пункта.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18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- 2887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котельной.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19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- 3230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надземной стоянки.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20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- 7684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21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- 162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Участок N 22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- 7260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торгового центра.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23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- 154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24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- 8856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25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- 10319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26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- 328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27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- 19589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28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- 17456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29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- 370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30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- 231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31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- 340 кв. м. 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Участок N 32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- 10630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33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- 3890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34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- 305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35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- 7920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36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- 3777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37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- 221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38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- 8373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39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- 802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насосной станции водоснабжения.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40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- 2275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котельной.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41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- 5505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Участок N 42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- 185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трансформаторной подстанции.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43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- 7767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44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- 460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канализационной насосной 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45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- 551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канализационной насосной станции.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46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- 20363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 со встроенно-пристроенными торгово-бытовыми административными помещениями.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47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- 38942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общеобразовательной школы. Расположен по ул. Артамонова, 38/1 (кадастровый номер 36:34:0000000:43225).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48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- 10000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детского дошкольного учреждения.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49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- 10000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детского дошкольного учреждения.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50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- 19637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Земельный участок, прошедший кадастровый учет (кадастровый номер 36:34:0105006:5) и расположенный по ул. Маршала Одинцова, 25в, отведен для размещения многоквартирного многоэтажного жилого дома со встроенно-пристроенными торгово-бытовыми административными помещениями.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Участок N 51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- 4976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Земельный участок, прошедший кадастровый учет (кадастровый номер 36:34:0105006:7) и расположенный по ул. Маршала Одинцова, 25е, отведен для проектирования и строительства физкультурно-оздоровительного центра.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52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- 4925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Земельный участок, прошедший кадастровый учет (кадастровый номер 36:34:0000000:7014) и расположенный по ул. Маршала Одинцова, 25и, отведен для проектирования и строительства многоэтажной стоянки индивидуальных легковых автомобилей.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53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- 4613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Земельный участок, прошедший кадастровый учет (кадастровый номер 36:34:0105006:386) и расположенный по ул. Маршала Одинцова, 25л, отведен для проектирования и строительства многоэтажной стоянки индивидуальных легковых автомобилей.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54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- 11000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проектирования и строительства многоэтажной стоянки индивидуальных легковых автомобилей.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55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- 4547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56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- 3540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57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- 5528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многоквартирного многоэтажного жилого дома.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58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- 11150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пешеходных улиц и дорог, парковых дорог, проездов, велосипедных дорожек, элементов благоустройства.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59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Площадь участка - 2385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пешеходных улиц и дорог, парковых дорог, проездов, велосипедных дорожек, элементов благоустройства.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60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- 37660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пешеходных улиц и дорог, парковых дорог, проездов, велосипедных дорожек, элементов благоустройства.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61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- 21850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пешеходных улиц и дорог, парковых дорог, проездов, велосипедных дорожек, элементов благоустройства.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62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- 29830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пешеходных улиц и дорог, парковых дорог, проездов, велосипедных дорожек, элементов благоустройства за пределами красных линий.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63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- 44678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пешеходных улиц и дорог, парковых дорог, проездов, велосипедных дорожек, элементов благоустройства за пределами красных линий.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N 64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Площадь участка - 1063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Участок выделен для размещения инженерных сооружений.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Характеристика планируемого развития территории: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площадь планируемой территории - 47,6 га;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общая площадь застройки зданий и сооружений - 82090 кв. м;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общая площадь зданий на планируемой территории - 741141,5 кв. м;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общая площадь квартир - 460787 кв. м.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Интенсивность использования планируемой территории: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процент застроенности территории - 17%;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коэффициент плотности застройки 1,55 &lt;*&gt;;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>- плотность населения при расчетной численности населения - 15360 чел. составит 323 чел/</w:t>
      </w:r>
      <w:proofErr w:type="gramStart"/>
      <w:r>
        <w:t>га</w:t>
      </w:r>
      <w:proofErr w:type="gramEnd"/>
      <w:r>
        <w:t>.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lastRenderedPageBreak/>
        <w:t>Примечание:</w:t>
      </w:r>
    </w:p>
    <w:p w:rsidR="003E0D42" w:rsidRDefault="003E0D42">
      <w:pPr>
        <w:pStyle w:val="ConsPlusNormal"/>
        <w:spacing w:before="220"/>
        <w:ind w:firstLine="540"/>
        <w:jc w:val="both"/>
      </w:pPr>
      <w:r>
        <w:t xml:space="preserve">&lt;*&gt; Учитывая сложную инженерно-геологическую обстановку (намывной грунт), не превышает предельно допустимого значения 1,6, согласно СП 42.13330.2016 </w:t>
      </w:r>
      <w:hyperlink r:id="rId38">
        <w:r>
          <w:rPr>
            <w:color w:val="0000FF"/>
          </w:rPr>
          <w:t>прил. "Б"</w:t>
        </w:r>
      </w:hyperlink>
      <w:r>
        <w:t xml:space="preserve"> (обязательно).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X. Баланс территории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  <w:outlineLvl w:val="3"/>
      </w:pPr>
      <w:r>
        <w:t>Таблица N 4</w:t>
      </w:r>
    </w:p>
    <w:p w:rsidR="003E0D42" w:rsidRDefault="003E0D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1276"/>
        <w:gridCol w:w="1417"/>
        <w:gridCol w:w="850"/>
        <w:gridCol w:w="1418"/>
        <w:gridCol w:w="850"/>
      </w:tblGrid>
      <w:tr w:rsidR="003E0D42">
        <w:tc>
          <w:tcPr>
            <w:tcW w:w="3061" w:type="dxa"/>
            <w:vMerge w:val="restart"/>
          </w:tcPr>
          <w:p w:rsidR="003E0D42" w:rsidRDefault="003E0D42">
            <w:pPr>
              <w:pStyle w:val="ConsPlusNormal"/>
              <w:jc w:val="center"/>
            </w:pPr>
            <w:r>
              <w:t>Территория</w:t>
            </w:r>
          </w:p>
        </w:tc>
        <w:tc>
          <w:tcPr>
            <w:tcW w:w="1276" w:type="dxa"/>
            <w:vMerge w:val="restart"/>
          </w:tcPr>
          <w:p w:rsidR="003E0D42" w:rsidRDefault="003E0D4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267" w:type="dxa"/>
            <w:gridSpan w:val="2"/>
          </w:tcPr>
          <w:p w:rsidR="003E0D42" w:rsidRDefault="003E0D42">
            <w:pPr>
              <w:pStyle w:val="ConsPlusNormal"/>
              <w:jc w:val="center"/>
            </w:pPr>
            <w:r>
              <w:t>Существующее положение</w:t>
            </w:r>
          </w:p>
        </w:tc>
        <w:tc>
          <w:tcPr>
            <w:tcW w:w="2268" w:type="dxa"/>
            <w:gridSpan w:val="2"/>
          </w:tcPr>
          <w:p w:rsidR="003E0D42" w:rsidRDefault="003E0D42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3E0D42">
        <w:tc>
          <w:tcPr>
            <w:tcW w:w="3061" w:type="dxa"/>
            <w:vMerge/>
          </w:tcPr>
          <w:p w:rsidR="003E0D42" w:rsidRDefault="003E0D42">
            <w:pPr>
              <w:pStyle w:val="ConsPlusNormal"/>
            </w:pPr>
          </w:p>
        </w:tc>
        <w:tc>
          <w:tcPr>
            <w:tcW w:w="1276" w:type="dxa"/>
            <w:vMerge/>
          </w:tcPr>
          <w:p w:rsidR="003E0D42" w:rsidRDefault="003E0D42">
            <w:pPr>
              <w:pStyle w:val="ConsPlusNormal"/>
            </w:pP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%</w:t>
            </w:r>
          </w:p>
        </w:tc>
      </w:tr>
      <w:tr w:rsidR="003E0D42">
        <w:tc>
          <w:tcPr>
            <w:tcW w:w="3061" w:type="dxa"/>
          </w:tcPr>
          <w:p w:rsidR="003E0D42" w:rsidRDefault="003E0D42">
            <w:pPr>
              <w:pStyle w:val="ConsPlusNormal"/>
            </w:pPr>
            <w:r>
              <w:t>Планируемая территория, всего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47,6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47,6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100</w:t>
            </w:r>
          </w:p>
        </w:tc>
      </w:tr>
      <w:tr w:rsidR="003E0D42">
        <w:tc>
          <w:tcPr>
            <w:tcW w:w="3061" w:type="dxa"/>
            <w:tcBorders>
              <w:bottom w:val="nil"/>
            </w:tcBorders>
          </w:tcPr>
          <w:p w:rsidR="003E0D42" w:rsidRDefault="003E0D42">
            <w:pPr>
              <w:pStyle w:val="ConsPlusNormal"/>
            </w:pPr>
            <w:r>
              <w:t>в том числе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1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85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18" w:type="dxa"/>
          </w:tcPr>
          <w:p w:rsidR="003E0D42" w:rsidRDefault="003E0D42">
            <w:pPr>
              <w:pStyle w:val="ConsPlusNormal"/>
            </w:pPr>
          </w:p>
        </w:tc>
        <w:tc>
          <w:tcPr>
            <w:tcW w:w="850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3061" w:type="dxa"/>
            <w:tcBorders>
              <w:top w:val="nil"/>
            </w:tcBorders>
          </w:tcPr>
          <w:p w:rsidR="003E0D42" w:rsidRDefault="003E0D42">
            <w:pPr>
              <w:pStyle w:val="ConsPlusNormal"/>
            </w:pPr>
            <w:r>
              <w:t>Территория многоэтажной жилой застройки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22,3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47</w:t>
            </w:r>
          </w:p>
        </w:tc>
      </w:tr>
      <w:tr w:rsidR="003E0D42">
        <w:tc>
          <w:tcPr>
            <w:tcW w:w="3061" w:type="dxa"/>
            <w:tcBorders>
              <w:bottom w:val="nil"/>
            </w:tcBorders>
          </w:tcPr>
          <w:p w:rsidR="003E0D42" w:rsidRDefault="003E0D42">
            <w:pPr>
              <w:pStyle w:val="ConsPlusNormal"/>
            </w:pPr>
            <w:r>
              <w:t>Территория общего пользования, всего</w:t>
            </w:r>
          </w:p>
          <w:p w:rsidR="003E0D42" w:rsidRDefault="003E0D42">
            <w:pPr>
              <w:pStyle w:val="ConsPlusNormal"/>
            </w:pPr>
            <w:r>
              <w:t>в том числе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25,3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53</w:t>
            </w:r>
          </w:p>
        </w:tc>
      </w:tr>
      <w:tr w:rsidR="003E0D42">
        <w:tc>
          <w:tcPr>
            <w:tcW w:w="3061" w:type="dxa"/>
            <w:tcBorders>
              <w:top w:val="nil"/>
              <w:bottom w:val="nil"/>
            </w:tcBorders>
          </w:tcPr>
          <w:p w:rsidR="003E0D42" w:rsidRDefault="003E0D42">
            <w:pPr>
              <w:pStyle w:val="ConsPlusNormal"/>
            </w:pPr>
            <w:r>
              <w:t>участок школы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8,1</w:t>
            </w:r>
          </w:p>
        </w:tc>
      </w:tr>
      <w:tr w:rsidR="003E0D42">
        <w:tc>
          <w:tcPr>
            <w:tcW w:w="3061" w:type="dxa"/>
            <w:tcBorders>
              <w:top w:val="nil"/>
            </w:tcBorders>
          </w:tcPr>
          <w:p w:rsidR="003E0D42" w:rsidRDefault="003E0D42">
            <w:pPr>
              <w:pStyle w:val="ConsPlusNormal"/>
            </w:pPr>
            <w:r>
              <w:t>участки детских садов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4,2</w:t>
            </w:r>
          </w:p>
        </w:tc>
      </w:tr>
      <w:tr w:rsidR="003E0D42">
        <w:tc>
          <w:tcPr>
            <w:tcW w:w="3061" w:type="dxa"/>
          </w:tcPr>
          <w:p w:rsidR="003E0D42" w:rsidRDefault="003E0D42">
            <w:pPr>
              <w:pStyle w:val="ConsPlusNormal"/>
            </w:pPr>
            <w:r>
              <w:t>Участки объектов торговли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1,5</w:t>
            </w:r>
          </w:p>
        </w:tc>
      </w:tr>
      <w:tr w:rsidR="003E0D42">
        <w:tc>
          <w:tcPr>
            <w:tcW w:w="3061" w:type="dxa"/>
          </w:tcPr>
          <w:p w:rsidR="003E0D42" w:rsidRDefault="003E0D42">
            <w:pPr>
              <w:pStyle w:val="ConsPlusNormal"/>
            </w:pPr>
            <w:r>
              <w:t>участки объектов инженерной инфраструктуры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2,6</w:t>
            </w:r>
          </w:p>
        </w:tc>
      </w:tr>
      <w:tr w:rsidR="003E0D42">
        <w:tc>
          <w:tcPr>
            <w:tcW w:w="3061" w:type="dxa"/>
          </w:tcPr>
          <w:p w:rsidR="003E0D42" w:rsidRDefault="003E0D42">
            <w:pPr>
              <w:pStyle w:val="ConsPlusNormal"/>
            </w:pPr>
            <w:r>
              <w:t>участки объектов транспортной инфраструктуры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5</w:t>
            </w:r>
          </w:p>
        </w:tc>
      </w:tr>
      <w:tr w:rsidR="003E0D42">
        <w:tc>
          <w:tcPr>
            <w:tcW w:w="3061" w:type="dxa"/>
          </w:tcPr>
          <w:p w:rsidR="003E0D42" w:rsidRDefault="003E0D42">
            <w:pPr>
              <w:pStyle w:val="ConsPlusNormal"/>
            </w:pPr>
            <w:r>
              <w:t>участки объектов физкультуры и спорта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1</w:t>
            </w:r>
          </w:p>
        </w:tc>
      </w:tr>
      <w:tr w:rsidR="003E0D42">
        <w:tc>
          <w:tcPr>
            <w:tcW w:w="3061" w:type="dxa"/>
          </w:tcPr>
          <w:p w:rsidR="003E0D42" w:rsidRDefault="003E0D42">
            <w:pPr>
              <w:pStyle w:val="ConsPlusNormal"/>
            </w:pPr>
            <w:r>
              <w:t>озелененные территории общего пользования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15,8</w:t>
            </w:r>
          </w:p>
        </w:tc>
      </w:tr>
      <w:tr w:rsidR="003E0D42">
        <w:tc>
          <w:tcPr>
            <w:tcW w:w="3061" w:type="dxa"/>
          </w:tcPr>
          <w:p w:rsidR="003E0D42" w:rsidRDefault="003E0D42">
            <w:pPr>
              <w:pStyle w:val="ConsPlusNormal"/>
            </w:pPr>
            <w:r>
              <w:t>улицы и дороги, проезды общего пользования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7,03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14,8</w:t>
            </w:r>
          </w:p>
        </w:tc>
      </w:tr>
      <w:tr w:rsidR="003E0D42">
        <w:tc>
          <w:tcPr>
            <w:tcW w:w="3061" w:type="dxa"/>
          </w:tcPr>
          <w:p w:rsidR="003E0D42" w:rsidRDefault="003E0D42">
            <w:pPr>
              <w:pStyle w:val="ConsPlusNormal"/>
            </w:pPr>
            <w:r>
              <w:t>свободная от застройки территория</w:t>
            </w:r>
          </w:p>
        </w:tc>
        <w:tc>
          <w:tcPr>
            <w:tcW w:w="1276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3E0D42" w:rsidRDefault="003E0D42">
            <w:pPr>
              <w:pStyle w:val="ConsPlusNormal"/>
              <w:jc w:val="center"/>
            </w:pPr>
            <w:r>
              <w:t>45,1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18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</w:tr>
    </w:tbl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XI. Технико-экономические показатели проекта планировки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  <w:outlineLvl w:val="3"/>
      </w:pPr>
      <w:r>
        <w:t>Таблица N 5</w:t>
      </w:r>
    </w:p>
    <w:p w:rsidR="003E0D42" w:rsidRDefault="003E0D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685"/>
        <w:gridCol w:w="1587"/>
        <w:gridCol w:w="1560"/>
        <w:gridCol w:w="1474"/>
      </w:tblGrid>
      <w:tr w:rsidR="003E0D42">
        <w:tc>
          <w:tcPr>
            <w:tcW w:w="56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85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560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Современное состояние</w:t>
            </w:r>
          </w:p>
        </w:tc>
        <w:tc>
          <w:tcPr>
            <w:tcW w:w="1474" w:type="dxa"/>
            <w:vAlign w:val="center"/>
          </w:tcPr>
          <w:p w:rsidR="003E0D42" w:rsidRDefault="003E0D42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3E0D42">
        <w:tc>
          <w:tcPr>
            <w:tcW w:w="567" w:type="dxa"/>
            <w:vAlign w:val="center"/>
          </w:tcPr>
          <w:p w:rsidR="003E0D42" w:rsidRDefault="003E0D42">
            <w:pPr>
              <w:pStyle w:val="ConsPlusNormal"/>
              <w:jc w:val="center"/>
              <w:outlineLvl w:val="4"/>
            </w:pPr>
            <w:r>
              <w:t>1</w:t>
            </w:r>
          </w:p>
        </w:tc>
        <w:tc>
          <w:tcPr>
            <w:tcW w:w="3685" w:type="dxa"/>
            <w:vAlign w:val="center"/>
          </w:tcPr>
          <w:p w:rsidR="003E0D42" w:rsidRDefault="003E0D42">
            <w:pPr>
              <w:pStyle w:val="ConsPlusNormal"/>
            </w:pPr>
            <w:r>
              <w:t>Территория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Площадь планируемой территории, всего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47,6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47,6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в том числе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Территория многоэтажной жилой застройки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22,3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Территория общего пользования, всего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25,3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в том числе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участок школы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3,9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участки детских садов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участки объектов торговли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0,73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участки объектов инженерной инфраструктуры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1,24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участки объектов транспортной инфраструктуры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2,4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участки объектов физкультуры и спорта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0,5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озелененные территории общего пользования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7,5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улицы, дороги, проезды общего пользования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7,03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свободная от застройки территория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45,1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Коэффициент застройки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0,17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Коэффициент плотности застройки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1,55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  <w:outlineLvl w:val="4"/>
            </w:pPr>
            <w:r>
              <w:t>2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Население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Численность населения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15,36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Плотность населения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чел./</w:t>
            </w:r>
            <w:proofErr w:type="gramStart"/>
            <w:r>
              <w:t>га</w:t>
            </w:r>
            <w:proofErr w:type="gramEnd"/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323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  <w:outlineLvl w:val="4"/>
            </w:pPr>
            <w:r>
              <w:t>3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Жилищный фонд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Общая площадь квартир жилых домов многоэтажной жилой застройки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тыс. кв. м общей площади квартир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460,787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  <w:outlineLvl w:val="4"/>
            </w:pPr>
            <w:r>
              <w:lastRenderedPageBreak/>
              <w:t>4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Объекты социального и культурно-бытового обслуживания населения и торговли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Общеобразовательная школа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1224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Детские дошкольные учреждения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600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Объекты в торговом центре: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магазины продовольственных товаров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кв. м торговой площади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900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магазины непродовольственных товаров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кв. м торговой площади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700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предприятия общественного питания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120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предприятия бытового обслуживания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25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филиал банка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операционное место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3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помещения досуга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Объекты встроенно-пристроенные в жилых домах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детские дошкольные учреждения дополнительного образования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80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магазины продовольственных товаров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300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магазины непродовольственных товаров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100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предприятия общественного питания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предприятия бытового обслуживания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филиал банка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операционное место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3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жилищно-эксплуатационная служба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досуговые центры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4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аптеки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кабинет семейного врача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пункт охраны правопорядка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  <w:outlineLvl w:val="4"/>
            </w:pPr>
            <w:r>
              <w:t>5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Транспортная инфраструктура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lastRenderedPageBreak/>
              <w:t>5.1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протяженность улично-дорожной сети, всего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в том числе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магистральные улицы районного значения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улицы местного значения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2,5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основные проезды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6,5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открытые гостевые автостоянки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3865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надземные автостоянки, всего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2250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в том числе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2 надземные автостоянки на 500 и 600 машино-мест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1100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надземная гостевая автостоянка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1000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надземная гостевая автостоянка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100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автостоянка в торговом центре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50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подземные автостоянки, всего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260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в том числе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2 подземные автостоянки на 130 мест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260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  <w:outlineLvl w:val="4"/>
            </w:pPr>
            <w:r>
              <w:t>6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Инженерное оборудование и благоустройство территории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560" w:type="dxa"/>
          </w:tcPr>
          <w:p w:rsidR="003E0D42" w:rsidRDefault="003E0D42">
            <w:pPr>
              <w:pStyle w:val="ConsPlusNormal"/>
            </w:pPr>
          </w:p>
        </w:tc>
        <w:tc>
          <w:tcPr>
            <w:tcW w:w="1474" w:type="dxa"/>
          </w:tcPr>
          <w:p w:rsidR="003E0D42" w:rsidRDefault="003E0D42">
            <w:pPr>
              <w:pStyle w:val="ConsPlusNormal"/>
            </w:pP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Водопотребление на хозяйственно-питьевые нужды (В</w:t>
            </w:r>
            <w:proofErr w:type="gramStart"/>
            <w:r>
              <w:t>1</w:t>
            </w:r>
            <w:proofErr w:type="gramEnd"/>
            <w:r>
              <w:t>)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куб. м/сут.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4224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</w:pP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на полив зеленых насаждений (В3)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куб. м/сут.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768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Водоотведение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куб. м/сут.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4224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Электропотребление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тыс. кВт·</w:t>
            </w:r>
            <w:proofErr w:type="gramStart"/>
            <w:r>
              <w:t>ч</w:t>
            </w:r>
            <w:proofErr w:type="gramEnd"/>
            <w:r>
              <w:t>/год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34709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Расход газа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тыс. н. куб. м/год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17567,87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Общее потребление тепла на отопление, вентиляцию, горячее водоснабжение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Гкал/год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133559,66</w:t>
            </w:r>
          </w:p>
        </w:tc>
      </w:tr>
      <w:tr w:rsidR="003E0D42">
        <w:tc>
          <w:tcPr>
            <w:tcW w:w="567" w:type="dxa"/>
          </w:tcPr>
          <w:p w:rsidR="003E0D42" w:rsidRDefault="003E0D42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3685" w:type="dxa"/>
          </w:tcPr>
          <w:p w:rsidR="003E0D42" w:rsidRDefault="003E0D42">
            <w:pPr>
              <w:pStyle w:val="ConsPlusNormal"/>
            </w:pPr>
            <w:r>
              <w:t>Количество твердых бытовых отходов</w:t>
            </w:r>
          </w:p>
        </w:tc>
        <w:tc>
          <w:tcPr>
            <w:tcW w:w="1587" w:type="dxa"/>
          </w:tcPr>
          <w:p w:rsidR="003E0D42" w:rsidRDefault="003E0D42">
            <w:pPr>
              <w:pStyle w:val="ConsPlusNormal"/>
              <w:jc w:val="center"/>
            </w:pPr>
            <w:r>
              <w:t>тыс. куб. м/год</w:t>
            </w:r>
          </w:p>
        </w:tc>
        <w:tc>
          <w:tcPr>
            <w:tcW w:w="1560" w:type="dxa"/>
          </w:tcPr>
          <w:p w:rsidR="003E0D42" w:rsidRDefault="003E0D4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3E0D42" w:rsidRDefault="003E0D42">
            <w:pPr>
              <w:pStyle w:val="ConsPlusNormal"/>
              <w:jc w:val="center"/>
            </w:pPr>
            <w:r>
              <w:t>25</w:t>
            </w:r>
          </w:p>
        </w:tc>
      </w:tr>
    </w:tbl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  <w:outlineLvl w:val="2"/>
      </w:pPr>
      <w:r>
        <w:t>XII. Защита территории от чрезвычайных ситуаций</w:t>
      </w:r>
    </w:p>
    <w:p w:rsidR="003E0D42" w:rsidRDefault="003E0D42">
      <w:pPr>
        <w:pStyle w:val="ConsPlusNormal"/>
        <w:jc w:val="center"/>
      </w:pPr>
      <w:r>
        <w:lastRenderedPageBreak/>
        <w:t>природного и техногенного характера,</w:t>
      </w:r>
    </w:p>
    <w:p w:rsidR="003E0D42" w:rsidRDefault="003E0D42">
      <w:pPr>
        <w:pStyle w:val="ConsPlusNormal"/>
        <w:jc w:val="center"/>
      </w:pPr>
      <w:r>
        <w:t>проведение мероприятий по гражданской обороне</w:t>
      </w:r>
    </w:p>
    <w:p w:rsidR="003E0D42" w:rsidRDefault="003E0D42">
      <w:pPr>
        <w:pStyle w:val="ConsPlusNormal"/>
        <w:jc w:val="center"/>
      </w:pPr>
      <w:r>
        <w:t>и обеспечению пожарной безопасности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ind w:firstLine="540"/>
        <w:jc w:val="both"/>
      </w:pPr>
      <w: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плана.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</w:pPr>
      <w:r>
        <w:t>Руководитель управления</w:t>
      </w:r>
    </w:p>
    <w:p w:rsidR="003E0D42" w:rsidRDefault="003E0D42">
      <w:pPr>
        <w:pStyle w:val="ConsPlusNormal"/>
        <w:jc w:val="right"/>
      </w:pPr>
      <w:r>
        <w:t>главного архитектора городского округа</w:t>
      </w:r>
    </w:p>
    <w:p w:rsidR="003E0D42" w:rsidRDefault="003E0D42">
      <w:pPr>
        <w:pStyle w:val="ConsPlusNormal"/>
        <w:jc w:val="right"/>
      </w:pPr>
      <w:r>
        <w:t>Л.А.ПОДШИВАЛОВА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  <w:outlineLvl w:val="1"/>
      </w:pPr>
      <w:r>
        <w:t>Приложение N 2</w:t>
      </w:r>
    </w:p>
    <w:p w:rsidR="003E0D42" w:rsidRDefault="003E0D42">
      <w:pPr>
        <w:pStyle w:val="ConsPlusNormal"/>
        <w:jc w:val="right"/>
      </w:pPr>
      <w:r>
        <w:t>к документации</w:t>
      </w:r>
    </w:p>
    <w:p w:rsidR="003E0D42" w:rsidRDefault="003E0D42">
      <w:pPr>
        <w:pStyle w:val="ConsPlusNormal"/>
        <w:jc w:val="right"/>
      </w:pPr>
      <w:r>
        <w:t>по планировке территории, ограниченной улицами:</w:t>
      </w:r>
    </w:p>
    <w:p w:rsidR="003E0D42" w:rsidRDefault="003E0D42">
      <w:pPr>
        <w:pStyle w:val="ConsPlusNormal"/>
        <w:jc w:val="right"/>
      </w:pPr>
      <w:r>
        <w:t>Артамонова, Маршала Одинцова, набережной Чуева</w:t>
      </w:r>
    </w:p>
    <w:p w:rsidR="003E0D42" w:rsidRDefault="003E0D42">
      <w:pPr>
        <w:pStyle w:val="ConsPlusNormal"/>
        <w:jc w:val="right"/>
      </w:pPr>
      <w:r>
        <w:t>в городском округе город Воронеж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</w:pPr>
      <w:bookmarkStart w:id="2" w:name="P1019"/>
      <w:bookmarkEnd w:id="2"/>
      <w:r>
        <w:t>Чертеж</w:t>
      </w:r>
    </w:p>
    <w:p w:rsidR="003E0D42" w:rsidRDefault="003E0D42">
      <w:pPr>
        <w:pStyle w:val="ConsPlusNormal"/>
        <w:jc w:val="center"/>
      </w:pPr>
      <w:r>
        <w:t>планировки территории, ограниченной улицами:</w:t>
      </w:r>
    </w:p>
    <w:p w:rsidR="003E0D42" w:rsidRDefault="003E0D42">
      <w:pPr>
        <w:pStyle w:val="ConsPlusNormal"/>
        <w:jc w:val="center"/>
      </w:pPr>
      <w:r>
        <w:t>Артамонова, Маршала Одинцова, набережной Чуева</w:t>
      </w:r>
    </w:p>
    <w:p w:rsidR="003E0D42" w:rsidRDefault="003E0D42">
      <w:pPr>
        <w:pStyle w:val="ConsPlusNormal"/>
        <w:jc w:val="center"/>
      </w:pPr>
      <w:r>
        <w:t>в городском округе город Воронеж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</w:pPr>
      <w:r>
        <w:rPr>
          <w:noProof/>
          <w:position w:val="-608"/>
        </w:rPr>
        <w:lastRenderedPageBreak/>
        <w:drawing>
          <wp:inline distT="0" distB="0" distL="0" distR="0">
            <wp:extent cx="5505450" cy="78727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787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</w:pPr>
      <w:r>
        <w:rPr>
          <w:noProof/>
          <w:position w:val="-195"/>
        </w:rPr>
        <w:lastRenderedPageBreak/>
        <w:drawing>
          <wp:inline distT="0" distB="0" distL="0" distR="0">
            <wp:extent cx="5505450" cy="262191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62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</w:pPr>
      <w:r>
        <w:t>Руководитель управления</w:t>
      </w:r>
    </w:p>
    <w:p w:rsidR="003E0D42" w:rsidRDefault="003E0D42">
      <w:pPr>
        <w:pStyle w:val="ConsPlusNormal"/>
        <w:jc w:val="right"/>
      </w:pPr>
      <w:r>
        <w:t>главного архитектора городского округа</w:t>
      </w:r>
    </w:p>
    <w:p w:rsidR="003E0D42" w:rsidRDefault="003E0D42">
      <w:pPr>
        <w:pStyle w:val="ConsPlusNormal"/>
        <w:jc w:val="right"/>
      </w:pPr>
      <w:r>
        <w:t>Л.А.ПОДШИВАЛОВА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  <w:outlineLvl w:val="1"/>
      </w:pPr>
      <w:r>
        <w:t>Приложение N 3</w:t>
      </w:r>
    </w:p>
    <w:p w:rsidR="003E0D42" w:rsidRDefault="003E0D42">
      <w:pPr>
        <w:pStyle w:val="ConsPlusNormal"/>
        <w:jc w:val="right"/>
      </w:pPr>
      <w:r>
        <w:t>к документации</w:t>
      </w:r>
    </w:p>
    <w:p w:rsidR="003E0D42" w:rsidRDefault="003E0D42">
      <w:pPr>
        <w:pStyle w:val="ConsPlusNormal"/>
        <w:jc w:val="right"/>
      </w:pPr>
      <w:r>
        <w:t>по планировке территории, ограниченной улицами:</w:t>
      </w:r>
    </w:p>
    <w:p w:rsidR="003E0D42" w:rsidRDefault="003E0D42">
      <w:pPr>
        <w:pStyle w:val="ConsPlusNormal"/>
        <w:jc w:val="right"/>
      </w:pPr>
      <w:r>
        <w:t>Артамонова, Маршала Одинцова, набережной Чуева</w:t>
      </w:r>
    </w:p>
    <w:p w:rsidR="003E0D42" w:rsidRDefault="003E0D42">
      <w:pPr>
        <w:pStyle w:val="ConsPlusNormal"/>
        <w:jc w:val="right"/>
      </w:pPr>
      <w:r>
        <w:t>в городском округе город Воронеж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</w:pPr>
      <w:bookmarkStart w:id="3" w:name="P1044"/>
      <w:bookmarkEnd w:id="3"/>
      <w:r>
        <w:t>Чертеж</w:t>
      </w:r>
    </w:p>
    <w:p w:rsidR="003E0D42" w:rsidRDefault="003E0D42">
      <w:pPr>
        <w:pStyle w:val="ConsPlusNormal"/>
        <w:jc w:val="center"/>
      </w:pPr>
      <w:r>
        <w:t>межевания территории, ограниченной улицами:</w:t>
      </w:r>
    </w:p>
    <w:p w:rsidR="003E0D42" w:rsidRDefault="003E0D42">
      <w:pPr>
        <w:pStyle w:val="ConsPlusNormal"/>
        <w:jc w:val="center"/>
      </w:pPr>
      <w:r>
        <w:t>Артамонова, Маршала Одинцова, набережной Чуева</w:t>
      </w:r>
    </w:p>
    <w:p w:rsidR="003E0D42" w:rsidRDefault="003E0D42">
      <w:pPr>
        <w:pStyle w:val="ConsPlusNormal"/>
        <w:jc w:val="center"/>
      </w:pPr>
      <w:r>
        <w:t>в городском округе город Воронеж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center"/>
      </w:pPr>
      <w:r>
        <w:rPr>
          <w:noProof/>
          <w:position w:val="-299"/>
        </w:rPr>
        <w:lastRenderedPageBreak/>
        <w:drawing>
          <wp:inline distT="0" distB="0" distL="0" distR="0">
            <wp:extent cx="5505450" cy="394335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right"/>
      </w:pPr>
      <w:r>
        <w:t>Руководитель управления</w:t>
      </w:r>
    </w:p>
    <w:p w:rsidR="003E0D42" w:rsidRDefault="003E0D42">
      <w:pPr>
        <w:pStyle w:val="ConsPlusNormal"/>
        <w:jc w:val="right"/>
      </w:pPr>
      <w:r>
        <w:t>главного архитектора городского округа</w:t>
      </w:r>
    </w:p>
    <w:p w:rsidR="003E0D42" w:rsidRDefault="003E0D42">
      <w:pPr>
        <w:pStyle w:val="ConsPlusNormal"/>
        <w:jc w:val="right"/>
      </w:pPr>
      <w:r>
        <w:t>Л.А.ПОДШИВАЛОВА</w:t>
      </w: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jc w:val="both"/>
      </w:pPr>
    </w:p>
    <w:p w:rsidR="003E0D42" w:rsidRDefault="003E0D4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63DF" w:rsidRDefault="00B363DF">
      <w:bookmarkStart w:id="4" w:name="_GoBack"/>
      <w:bookmarkEnd w:id="4"/>
    </w:p>
    <w:sectPr w:rsidR="00B363DF" w:rsidSect="00D51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D42"/>
    <w:rsid w:val="003E0D42"/>
    <w:rsid w:val="00B3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0D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0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E0D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E0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E0D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E0D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3E0D4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0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D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0D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0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E0D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E0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E0D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E0D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3E0D4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0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D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84858&amp;dst=100037" TargetMode="External"/><Relationship Id="rId18" Type="http://schemas.openxmlformats.org/officeDocument/2006/relationships/hyperlink" Target="https://login.consultant.ru/link/?req=doc&amp;base=RLAW181&amp;n=80013&amp;dst=100014" TargetMode="External"/><Relationship Id="rId26" Type="http://schemas.openxmlformats.org/officeDocument/2006/relationships/hyperlink" Target="https://login.consultant.ru/link/?req=doc&amp;base=STR&amp;n=21072&amp;dst=100307" TargetMode="External"/><Relationship Id="rId39" Type="http://schemas.openxmlformats.org/officeDocument/2006/relationships/image" Target="media/image1.png"/><Relationship Id="rId21" Type="http://schemas.openxmlformats.org/officeDocument/2006/relationships/hyperlink" Target="https://login.consultant.ru/link/?req=doc&amp;base=RLAW181&amp;n=84858&amp;dst=106954" TargetMode="External"/><Relationship Id="rId34" Type="http://schemas.openxmlformats.org/officeDocument/2006/relationships/hyperlink" Target="https://login.consultant.ru/link/?req=doc&amp;base=STR&amp;n=21072&amp;dst=101925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28992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73833&amp;dst=100014" TargetMode="External"/><Relationship Id="rId20" Type="http://schemas.openxmlformats.org/officeDocument/2006/relationships/hyperlink" Target="https://login.consultant.ru/link/?req=doc&amp;base=RLAW181&amp;n=84858&amp;dst=111181" TargetMode="External"/><Relationship Id="rId29" Type="http://schemas.openxmlformats.org/officeDocument/2006/relationships/hyperlink" Target="https://login.consultant.ru/link/?req=doc&amp;base=RLAW181&amp;n=84858&amp;dst=106954" TargetMode="External"/><Relationship Id="rId41" Type="http://schemas.openxmlformats.org/officeDocument/2006/relationships/image" Target="media/image3.png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87246" TargetMode="External"/><Relationship Id="rId11" Type="http://schemas.openxmlformats.org/officeDocument/2006/relationships/hyperlink" Target="https://login.consultant.ru/link/?req=doc&amp;base=RLAW181&amp;n=50186" TargetMode="External"/><Relationship Id="rId24" Type="http://schemas.openxmlformats.org/officeDocument/2006/relationships/hyperlink" Target="https://login.consultant.ru/link/?req=doc&amp;base=RLAW181&amp;n=84858&amp;dst=109139" TargetMode="External"/><Relationship Id="rId32" Type="http://schemas.openxmlformats.org/officeDocument/2006/relationships/hyperlink" Target="https://login.consultant.ru/link/?req=doc&amp;base=RLAW181&amp;n=84858&amp;dst=106954" TargetMode="External"/><Relationship Id="rId37" Type="http://schemas.openxmlformats.org/officeDocument/2006/relationships/hyperlink" Target="https://login.consultant.ru/link/?req=doc&amp;base=RLAW181&amp;n=80013&amp;dst=101860" TargetMode="External"/><Relationship Id="rId40" Type="http://schemas.openxmlformats.org/officeDocument/2006/relationships/image" Target="media/image2.png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60512&amp;dst=100028" TargetMode="External"/><Relationship Id="rId23" Type="http://schemas.openxmlformats.org/officeDocument/2006/relationships/hyperlink" Target="https://login.consultant.ru/link/?req=doc&amp;base=RLAW181&amp;n=84858&amp;dst=104523" TargetMode="External"/><Relationship Id="rId28" Type="http://schemas.openxmlformats.org/officeDocument/2006/relationships/hyperlink" Target="https://login.consultant.ru/link/?req=doc&amp;base=LAW&amp;n=163543&amp;dst=100617" TargetMode="External"/><Relationship Id="rId36" Type="http://schemas.openxmlformats.org/officeDocument/2006/relationships/hyperlink" Target="https://login.consultant.ru/link/?req=doc&amp;base=RLAW181&amp;n=73833&amp;dst=100407" TargetMode="External"/><Relationship Id="rId10" Type="http://schemas.openxmlformats.org/officeDocument/2006/relationships/hyperlink" Target="https://login.consultant.ru/link/?req=doc&amp;base=RLAW181&amp;n=50186" TargetMode="External"/><Relationship Id="rId19" Type="http://schemas.openxmlformats.org/officeDocument/2006/relationships/hyperlink" Target="https://login.consultant.ru/link/?req=doc&amp;base=RLAW181&amp;n=84858&amp;dst=109139" TargetMode="External"/><Relationship Id="rId31" Type="http://schemas.openxmlformats.org/officeDocument/2006/relationships/hyperlink" Target="https://login.consultant.ru/link/?req=doc&amp;base=RLAW181&amp;n=73833&amp;dst=1004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84869&amp;dst=100005" TargetMode="External"/><Relationship Id="rId14" Type="http://schemas.openxmlformats.org/officeDocument/2006/relationships/hyperlink" Target="https://login.consultant.ru/link/?req=doc&amp;base=LAW&amp;n=287246" TargetMode="External"/><Relationship Id="rId22" Type="http://schemas.openxmlformats.org/officeDocument/2006/relationships/hyperlink" Target="https://login.consultant.ru/link/?req=doc&amp;base=RLAW181&amp;n=84858&amp;dst=109139" TargetMode="External"/><Relationship Id="rId27" Type="http://schemas.openxmlformats.org/officeDocument/2006/relationships/hyperlink" Target="https://login.consultant.ru/link/?req=doc&amp;base=STR&amp;n=20739" TargetMode="External"/><Relationship Id="rId30" Type="http://schemas.openxmlformats.org/officeDocument/2006/relationships/hyperlink" Target="https://login.consultant.ru/link/?req=doc&amp;base=RLAW181&amp;n=84858&amp;dst=111181" TargetMode="External"/><Relationship Id="rId35" Type="http://schemas.openxmlformats.org/officeDocument/2006/relationships/hyperlink" Target="https://login.consultant.ru/link/?req=doc&amp;base=RLAW181&amp;n=72741&amp;dst=100256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181&amp;n=842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84869&amp;dst=100005" TargetMode="External"/><Relationship Id="rId17" Type="http://schemas.openxmlformats.org/officeDocument/2006/relationships/hyperlink" Target="https://login.consultant.ru/link/?req=doc&amp;base=RLAW181&amp;n=72741&amp;dst=100010" TargetMode="External"/><Relationship Id="rId25" Type="http://schemas.openxmlformats.org/officeDocument/2006/relationships/hyperlink" Target="https://login.consultant.ru/link/?req=doc&amp;base=LAW&amp;n=221337" TargetMode="External"/><Relationship Id="rId33" Type="http://schemas.openxmlformats.org/officeDocument/2006/relationships/hyperlink" Target="https://login.consultant.ru/link/?req=doc&amp;base=RLAW181&amp;n=84858&amp;dst=111181" TargetMode="External"/><Relationship Id="rId38" Type="http://schemas.openxmlformats.org/officeDocument/2006/relationships/hyperlink" Target="https://login.consultant.ru/link/?req=doc&amp;base=STR&amp;n=21072&amp;dst=1017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8205</Words>
  <Characters>46772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2026-02-24T08:44:00Z</dcterms:created>
  <dcterms:modified xsi:type="dcterms:W3CDTF">2026-02-24T08:44:00Z</dcterms:modified>
</cp:coreProperties>
</file>